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68" w:type="dxa"/>
        <w:jc w:val="center"/>
        <w:tblLook w:val="01E0" w:firstRow="1" w:lastRow="1" w:firstColumn="1" w:lastColumn="1" w:noHBand="0" w:noVBand="0"/>
      </w:tblPr>
      <w:tblGrid>
        <w:gridCol w:w="3397"/>
        <w:gridCol w:w="2971"/>
      </w:tblGrid>
      <w:tr w:rsidR="002A4F1D" w:rsidRPr="0023747C" w14:paraId="1CB6923C" w14:textId="77777777" w:rsidTr="004D577F">
        <w:trPr>
          <w:jc w:val="center"/>
        </w:trPr>
        <w:tc>
          <w:tcPr>
            <w:tcW w:w="3397" w:type="dxa"/>
          </w:tcPr>
          <w:p w14:paraId="39198205" w14:textId="274BD4BC" w:rsidR="002A4F1D" w:rsidRPr="0023747C" w:rsidRDefault="002A4F1D" w:rsidP="004D577F">
            <w:pPr>
              <w:spacing w:line="340" w:lineRule="exact"/>
              <w:ind w:firstLine="284"/>
              <w:jc w:val="center"/>
              <w:rPr>
                <w:lang w:eastAsia="vi-VN"/>
              </w:rPr>
            </w:pPr>
            <w:bookmarkStart w:id="0" w:name="_Hlk189983481"/>
            <w:bookmarkStart w:id="1" w:name="_Hlk86007686"/>
            <w:bookmarkEnd w:id="0"/>
            <w:r w:rsidRPr="0023747C">
              <w:rPr>
                <w:lang w:eastAsia="vi-VN"/>
              </w:rPr>
              <w:t>MINISTRY OF EDUCATION AND TRAINING</w:t>
            </w:r>
          </w:p>
        </w:tc>
        <w:tc>
          <w:tcPr>
            <w:tcW w:w="2971" w:type="dxa"/>
          </w:tcPr>
          <w:p w14:paraId="229DD9BB" w14:textId="0211497F" w:rsidR="002A4F1D" w:rsidRPr="0023747C" w:rsidRDefault="004D577F" w:rsidP="004D577F">
            <w:pPr>
              <w:spacing w:line="340" w:lineRule="exact"/>
              <w:ind w:firstLine="284"/>
              <w:jc w:val="center"/>
              <w:rPr>
                <w:lang w:eastAsia="vi-VN"/>
              </w:rPr>
            </w:pPr>
            <w:r>
              <w:rPr>
                <w:lang w:eastAsia="vi-VN"/>
              </w:rPr>
              <w:t xml:space="preserve">MINISTRY OF </w:t>
            </w:r>
            <w:r w:rsidR="00CA2B67">
              <w:rPr>
                <w:lang w:eastAsia="vi-VN"/>
              </w:rPr>
              <w:t xml:space="preserve">NATIONAL </w:t>
            </w:r>
            <w:r>
              <w:rPr>
                <w:lang w:eastAsia="vi-VN"/>
              </w:rPr>
              <w:t>DEFENSE</w:t>
            </w:r>
          </w:p>
        </w:tc>
      </w:tr>
      <w:tr w:rsidR="002A4F1D" w:rsidRPr="0023747C" w14:paraId="6DABFABD" w14:textId="77777777" w:rsidTr="004D577F">
        <w:trPr>
          <w:jc w:val="center"/>
        </w:trPr>
        <w:tc>
          <w:tcPr>
            <w:tcW w:w="6368" w:type="dxa"/>
            <w:gridSpan w:val="2"/>
          </w:tcPr>
          <w:p w14:paraId="22414E5A" w14:textId="5FB663AD" w:rsidR="006C04C7" w:rsidRPr="0023747C" w:rsidRDefault="00CA2B67" w:rsidP="004D577F">
            <w:pPr>
              <w:tabs>
                <w:tab w:val="center" w:pos="2835"/>
                <w:tab w:val="center" w:pos="4111"/>
                <w:tab w:val="center" w:pos="5954"/>
              </w:tabs>
              <w:spacing w:line="340" w:lineRule="exact"/>
              <w:ind w:firstLine="284"/>
              <w:jc w:val="center"/>
              <w:rPr>
                <w:rFonts w:eastAsia="Times New Roman"/>
                <w:b/>
              </w:rPr>
            </w:pPr>
            <w:r>
              <w:rPr>
                <w:rFonts w:eastAsia="Times New Roman"/>
                <w:b/>
              </w:rPr>
              <w:t xml:space="preserve">VIETNAM </w:t>
            </w:r>
            <w:r w:rsidR="006C04C7" w:rsidRPr="0023747C">
              <w:rPr>
                <w:rFonts w:eastAsia="Times New Roman"/>
                <w:b/>
              </w:rPr>
              <w:t xml:space="preserve">MILITARY MEDICAL </w:t>
            </w:r>
            <w:r>
              <w:rPr>
                <w:rFonts w:eastAsia="Times New Roman"/>
                <w:b/>
              </w:rPr>
              <w:t>UNIVERSITY</w:t>
            </w:r>
          </w:p>
          <w:p w14:paraId="2314BD39" w14:textId="46A9F369" w:rsidR="002A4F1D" w:rsidRPr="004D577F" w:rsidRDefault="006C04C7" w:rsidP="004D577F">
            <w:pPr>
              <w:tabs>
                <w:tab w:val="center" w:pos="2835"/>
                <w:tab w:val="center" w:pos="4111"/>
                <w:tab w:val="center" w:pos="5954"/>
              </w:tabs>
              <w:spacing w:line="340" w:lineRule="exact"/>
              <w:ind w:firstLine="284"/>
              <w:jc w:val="center"/>
              <w:rPr>
                <w:rFonts w:eastAsia="Times New Roman"/>
              </w:rPr>
            </w:pPr>
            <w:r w:rsidRPr="0023747C">
              <w:rPr>
                <w:rFonts w:eastAsia="Times New Roman"/>
              </w:rPr>
              <w:t xml:space="preserve">=== </w:t>
            </w:r>
            <w:r w:rsidRPr="0023747C">
              <w:rPr>
                <w:rFonts w:eastAsia="Times New Roman"/>
                <w:vertAlign w:val="subscript"/>
              </w:rPr>
              <w:t xml:space="preserve">* </w:t>
            </w:r>
            <w:r w:rsidRPr="0023747C">
              <w:rPr>
                <w:rFonts w:eastAsia="Times New Roman"/>
                <w:vertAlign w:val="superscript"/>
              </w:rPr>
              <w:t xml:space="preserve">* </w:t>
            </w:r>
            <w:r w:rsidRPr="0023747C">
              <w:rPr>
                <w:rFonts w:eastAsia="Times New Roman"/>
                <w:vertAlign w:val="subscript"/>
              </w:rPr>
              <w:t xml:space="preserve">* </w:t>
            </w:r>
            <w:r w:rsidRPr="0023747C">
              <w:rPr>
                <w:rFonts w:eastAsia="Times New Roman"/>
              </w:rPr>
              <w:t>===</w:t>
            </w:r>
          </w:p>
        </w:tc>
      </w:tr>
    </w:tbl>
    <w:p w14:paraId="79BF05FD" w14:textId="77777777" w:rsidR="00103BA0" w:rsidRPr="0023747C" w:rsidRDefault="00103BA0" w:rsidP="004D577F">
      <w:pPr>
        <w:spacing w:line="340" w:lineRule="exact"/>
        <w:ind w:firstLine="284"/>
      </w:pPr>
    </w:p>
    <w:p w14:paraId="41A10B14" w14:textId="458C34D2" w:rsidR="004D577F" w:rsidRPr="0023747C" w:rsidRDefault="00762962" w:rsidP="00CA2B67">
      <w:pPr>
        <w:spacing w:line="340" w:lineRule="exact"/>
        <w:ind w:firstLine="284"/>
      </w:pPr>
      <w:r w:rsidRPr="0023747C">
        <w:tab/>
      </w:r>
    </w:p>
    <w:p w14:paraId="63B31C62" w14:textId="5CFE7A8A" w:rsidR="00E230B6" w:rsidRPr="00BA27D0" w:rsidRDefault="00BA27D0" w:rsidP="004D577F">
      <w:pPr>
        <w:spacing w:line="340" w:lineRule="exact"/>
        <w:ind w:firstLine="284"/>
        <w:jc w:val="center"/>
        <w:rPr>
          <w:b/>
          <w:bCs/>
        </w:rPr>
      </w:pPr>
      <w:r>
        <w:rPr>
          <w:b/>
          <w:bCs/>
        </w:rPr>
        <w:t>NGUYEN VAN TUAN</w:t>
      </w:r>
    </w:p>
    <w:p w14:paraId="5769726C" w14:textId="77777777" w:rsidR="00FA1A29" w:rsidRPr="0023747C" w:rsidRDefault="00FA1A29" w:rsidP="004D577F">
      <w:pPr>
        <w:spacing w:line="340" w:lineRule="exact"/>
        <w:ind w:firstLine="284"/>
      </w:pPr>
    </w:p>
    <w:p w14:paraId="3BB47DCD" w14:textId="77777777" w:rsidR="00645C14" w:rsidRDefault="00645C14" w:rsidP="004D577F">
      <w:pPr>
        <w:spacing w:line="340" w:lineRule="exact"/>
        <w:ind w:firstLine="284"/>
      </w:pPr>
    </w:p>
    <w:p w14:paraId="62C037BA" w14:textId="77777777" w:rsidR="0070275C" w:rsidRPr="0023747C" w:rsidRDefault="0070275C" w:rsidP="004D577F">
      <w:pPr>
        <w:spacing w:line="340" w:lineRule="exact"/>
        <w:ind w:firstLine="284"/>
      </w:pPr>
    </w:p>
    <w:p w14:paraId="6CA9E0A2" w14:textId="39710E50" w:rsidR="00D249C3" w:rsidRPr="00BA27D0" w:rsidRDefault="00D249C3" w:rsidP="00BA27D0">
      <w:pPr>
        <w:pStyle w:val="BodyText"/>
        <w:spacing w:line="340" w:lineRule="exact"/>
        <w:ind w:firstLine="284"/>
        <w:jc w:val="center"/>
        <w:rPr>
          <w:rFonts w:ascii="Times New Roman" w:hAnsi="Times New Roman"/>
          <w:b/>
          <w:bCs/>
          <w:sz w:val="22"/>
          <w:szCs w:val="22"/>
        </w:rPr>
      </w:pPr>
      <w:r w:rsidRPr="00F47B99">
        <w:rPr>
          <w:rFonts w:ascii="Times New Roman" w:hAnsi="Times New Roman"/>
          <w:b/>
          <w:sz w:val="22"/>
          <w:szCs w:val="22"/>
        </w:rPr>
        <w:t xml:space="preserve">STUDY </w:t>
      </w:r>
      <w:r w:rsidR="00E61560" w:rsidRPr="00BA27D0">
        <w:rPr>
          <w:rFonts w:ascii="Times New Roman" w:hAnsi="Times New Roman"/>
          <w:b/>
          <w:bCs/>
          <w:sz w:val="22"/>
          <w:szCs w:val="22"/>
        </w:rPr>
        <w:t xml:space="preserve">ON CHANGES IN OSTEOPROTEGERIN, MATRIX METALLOPROTEINASE-2 CONCENTRATIONS AND </w:t>
      </w:r>
      <w:r w:rsidR="00CA2B67">
        <w:rPr>
          <w:rFonts w:ascii="Times New Roman" w:hAnsi="Times New Roman"/>
          <w:b/>
          <w:bCs/>
          <w:sz w:val="22"/>
          <w:szCs w:val="22"/>
        </w:rPr>
        <w:t>LEFT VENTRICULAR STRAIN</w:t>
      </w:r>
      <w:r w:rsidR="00E61560" w:rsidRPr="00BA27D0">
        <w:rPr>
          <w:rFonts w:ascii="Times New Roman" w:hAnsi="Times New Roman"/>
          <w:b/>
          <w:bCs/>
          <w:sz w:val="22"/>
          <w:szCs w:val="22"/>
        </w:rPr>
        <w:t>, VENTRICULAR</w:t>
      </w:r>
      <w:r w:rsidR="00CB3BD7">
        <w:rPr>
          <w:rFonts w:ascii="Times New Roman" w:hAnsi="Times New Roman"/>
          <w:b/>
          <w:bCs/>
          <w:sz w:val="22"/>
          <w:szCs w:val="22"/>
        </w:rPr>
        <w:t xml:space="preserve"> -</w:t>
      </w:r>
      <w:r w:rsidR="00CA2B67">
        <w:rPr>
          <w:rFonts w:ascii="Times New Roman" w:hAnsi="Times New Roman"/>
          <w:b/>
          <w:bCs/>
          <w:sz w:val="22"/>
          <w:szCs w:val="22"/>
        </w:rPr>
        <w:t xml:space="preserve"> </w:t>
      </w:r>
      <w:r w:rsidR="00E61560" w:rsidRPr="00BA27D0">
        <w:rPr>
          <w:rFonts w:ascii="Times New Roman" w:hAnsi="Times New Roman"/>
          <w:b/>
          <w:bCs/>
          <w:sz w:val="22"/>
          <w:szCs w:val="22"/>
        </w:rPr>
        <w:t>AR</w:t>
      </w:r>
      <w:r w:rsidR="00CA2B67">
        <w:rPr>
          <w:rFonts w:ascii="Times New Roman" w:hAnsi="Times New Roman"/>
          <w:b/>
          <w:bCs/>
          <w:sz w:val="22"/>
          <w:szCs w:val="22"/>
        </w:rPr>
        <w:t>TERIAL</w:t>
      </w:r>
      <w:r w:rsidR="00E61560" w:rsidRPr="00BA27D0">
        <w:rPr>
          <w:rFonts w:ascii="Times New Roman" w:hAnsi="Times New Roman"/>
          <w:b/>
          <w:bCs/>
          <w:sz w:val="22"/>
          <w:szCs w:val="22"/>
        </w:rPr>
        <w:t xml:space="preserve"> </w:t>
      </w:r>
      <w:r w:rsidR="00CA2B67">
        <w:rPr>
          <w:rFonts w:ascii="Times New Roman" w:hAnsi="Times New Roman"/>
          <w:b/>
          <w:bCs/>
          <w:sz w:val="22"/>
          <w:szCs w:val="22"/>
        </w:rPr>
        <w:t xml:space="preserve">COUPLING </w:t>
      </w:r>
      <w:r w:rsidR="00E61560" w:rsidRPr="00BA27D0">
        <w:rPr>
          <w:rFonts w:ascii="Times New Roman" w:hAnsi="Times New Roman"/>
          <w:b/>
          <w:bCs/>
          <w:sz w:val="22"/>
          <w:szCs w:val="22"/>
        </w:rPr>
        <w:t>IN PATIENTS WITH ACUTE MYOCARDIAL INFARCTION UNDERGOING PERCUTANEOUS CORONARY INTERVENTION</w:t>
      </w:r>
    </w:p>
    <w:p w14:paraId="19A34C8D" w14:textId="77777777" w:rsidR="0070275C" w:rsidRPr="00BA27D0" w:rsidRDefault="0070275C" w:rsidP="004D577F">
      <w:pPr>
        <w:spacing w:line="340" w:lineRule="exact"/>
        <w:ind w:firstLine="284"/>
      </w:pPr>
    </w:p>
    <w:p w14:paraId="53C27275" w14:textId="77777777" w:rsidR="00CB3BD7" w:rsidRDefault="00CB3BD7" w:rsidP="004D577F">
      <w:pPr>
        <w:spacing w:line="340" w:lineRule="exact"/>
        <w:ind w:firstLine="284"/>
        <w:jc w:val="center"/>
      </w:pPr>
    </w:p>
    <w:p w14:paraId="04367485" w14:textId="77777777" w:rsidR="0070275C" w:rsidRDefault="0070275C" w:rsidP="004D577F">
      <w:pPr>
        <w:spacing w:line="340" w:lineRule="exact"/>
        <w:ind w:firstLine="284"/>
        <w:jc w:val="center"/>
      </w:pPr>
    </w:p>
    <w:p w14:paraId="505ECF3A" w14:textId="5256370A" w:rsidR="00CB3BD7" w:rsidRDefault="00CB3BD7" w:rsidP="00CB3BD7">
      <w:pPr>
        <w:spacing w:line="340" w:lineRule="exact"/>
        <w:ind w:firstLine="0"/>
        <w:rPr>
          <w:b/>
          <w:bCs/>
          <w:lang w:val="en-US"/>
        </w:rPr>
      </w:pPr>
      <w:r>
        <w:tab/>
      </w:r>
      <w:r>
        <w:tab/>
      </w:r>
      <w:r>
        <w:rPr>
          <w:b/>
          <w:bCs/>
        </w:rPr>
        <w:t>Specialism</w:t>
      </w:r>
      <w:r w:rsidR="00FA1A29" w:rsidRPr="00BA27D0">
        <w:rPr>
          <w:b/>
          <w:bCs/>
        </w:rPr>
        <w:t xml:space="preserve">: Internal Medicine </w:t>
      </w:r>
      <w:r w:rsidR="00E61560" w:rsidRPr="0023747C">
        <w:rPr>
          <w:b/>
          <w:bCs/>
          <w:lang w:val="vi-VN"/>
        </w:rPr>
        <w:t>(</w:t>
      </w:r>
      <w:r w:rsidR="00BA27D0">
        <w:rPr>
          <w:b/>
          <w:bCs/>
        </w:rPr>
        <w:t>Cardiology</w:t>
      </w:r>
      <w:r w:rsidR="00E61560" w:rsidRPr="0023747C">
        <w:rPr>
          <w:b/>
          <w:bCs/>
          <w:lang w:val="vi-VN"/>
        </w:rPr>
        <w:t>)</w:t>
      </w:r>
    </w:p>
    <w:p w14:paraId="3FD4A439" w14:textId="1C173694" w:rsidR="00820108" w:rsidRPr="0023747C" w:rsidRDefault="00CB3BD7" w:rsidP="00CB3BD7">
      <w:pPr>
        <w:spacing w:line="340" w:lineRule="exact"/>
        <w:ind w:firstLine="284"/>
        <w:rPr>
          <w:b/>
          <w:bCs/>
          <w:lang w:val="vi-VN"/>
        </w:rPr>
      </w:pPr>
      <w:r>
        <w:rPr>
          <w:b/>
          <w:bCs/>
          <w:lang w:val="en-US"/>
        </w:rPr>
        <w:tab/>
      </w:r>
      <w:r>
        <w:rPr>
          <w:b/>
          <w:bCs/>
          <w:lang w:val="en-US"/>
        </w:rPr>
        <w:tab/>
      </w:r>
      <w:r w:rsidR="00820108" w:rsidRPr="0023747C">
        <w:rPr>
          <w:b/>
          <w:bCs/>
          <w:lang w:val="vi-VN"/>
        </w:rPr>
        <w:t>Code: 9 72 01 07</w:t>
      </w:r>
    </w:p>
    <w:p w14:paraId="7C1F8BB1" w14:textId="77777777" w:rsidR="00FA1A29" w:rsidRPr="0023747C" w:rsidRDefault="00FA1A29" w:rsidP="004D577F">
      <w:pPr>
        <w:spacing w:line="340" w:lineRule="exact"/>
        <w:ind w:firstLine="284"/>
        <w:rPr>
          <w:lang w:val="vi-VN"/>
        </w:rPr>
      </w:pPr>
    </w:p>
    <w:p w14:paraId="17A7EEF0" w14:textId="77777777" w:rsidR="003D46D5" w:rsidRPr="0023747C" w:rsidRDefault="00BD7440" w:rsidP="004D577F">
      <w:pPr>
        <w:spacing w:line="340" w:lineRule="exact"/>
        <w:ind w:firstLine="284"/>
        <w:rPr>
          <w:lang w:val="vi-VN"/>
        </w:rPr>
      </w:pPr>
      <w:r w:rsidRPr="0023747C">
        <w:rPr>
          <w:lang w:val="vi-VN"/>
        </w:rPr>
        <w:tab/>
      </w:r>
    </w:p>
    <w:p w14:paraId="2086228A" w14:textId="3B7E7B6B" w:rsidR="00727E06" w:rsidRPr="0070275C" w:rsidRDefault="006C1CA5" w:rsidP="004D577F">
      <w:pPr>
        <w:spacing w:line="340" w:lineRule="exact"/>
        <w:ind w:firstLine="284"/>
        <w:jc w:val="center"/>
        <w:rPr>
          <w:b/>
          <w:bCs/>
          <w:lang w:val="en-US"/>
        </w:rPr>
      </w:pPr>
      <w:r w:rsidRPr="0023747C">
        <w:rPr>
          <w:b/>
          <w:bCs/>
          <w:lang w:val="vi-VN"/>
        </w:rPr>
        <w:t>SUMMARY OF</w:t>
      </w:r>
      <w:r w:rsidR="0070275C">
        <w:rPr>
          <w:b/>
          <w:bCs/>
          <w:lang w:val="en-US"/>
        </w:rPr>
        <w:t xml:space="preserve"> MEDICAL </w:t>
      </w:r>
      <w:r w:rsidRPr="0023747C">
        <w:rPr>
          <w:b/>
          <w:bCs/>
          <w:lang w:val="vi-VN"/>
        </w:rPr>
        <w:t>DOCTORAL</w:t>
      </w:r>
      <w:r w:rsidR="0070275C">
        <w:rPr>
          <w:b/>
          <w:bCs/>
          <w:lang w:val="en-US"/>
        </w:rPr>
        <w:t xml:space="preserve"> DISSERTATION</w:t>
      </w:r>
    </w:p>
    <w:p w14:paraId="54E7C832" w14:textId="77777777" w:rsidR="00805D0F" w:rsidRPr="0023747C" w:rsidRDefault="00805D0F" w:rsidP="004D577F">
      <w:pPr>
        <w:spacing w:line="340" w:lineRule="exact"/>
        <w:ind w:firstLine="284"/>
        <w:rPr>
          <w:lang w:val="vi-VN"/>
        </w:rPr>
      </w:pPr>
    </w:p>
    <w:p w14:paraId="60FBBFB6" w14:textId="77777777" w:rsidR="00645C14" w:rsidRPr="0023747C" w:rsidRDefault="00645C14" w:rsidP="004D577F">
      <w:pPr>
        <w:spacing w:line="340" w:lineRule="exact"/>
        <w:ind w:firstLine="284"/>
        <w:rPr>
          <w:lang w:val="vi-VN"/>
        </w:rPr>
      </w:pPr>
    </w:p>
    <w:p w14:paraId="4508BC9C" w14:textId="77777777" w:rsidR="00FA1A29" w:rsidRPr="0023747C" w:rsidRDefault="00FA1A29" w:rsidP="004D577F">
      <w:pPr>
        <w:spacing w:line="340" w:lineRule="exact"/>
        <w:ind w:firstLine="284"/>
        <w:rPr>
          <w:lang w:val="vi-VN"/>
        </w:rPr>
      </w:pPr>
    </w:p>
    <w:p w14:paraId="690D930C" w14:textId="6ECA4D55" w:rsidR="00F75920" w:rsidRPr="0023747C" w:rsidRDefault="00103BA0" w:rsidP="004D577F">
      <w:pPr>
        <w:spacing w:line="340" w:lineRule="exact"/>
        <w:ind w:firstLine="284"/>
        <w:jc w:val="center"/>
        <w:rPr>
          <w:b/>
          <w:bCs/>
          <w:lang w:val="vi-VN"/>
        </w:rPr>
        <w:sectPr w:rsidR="00F75920" w:rsidRPr="0023747C"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23747C">
        <w:rPr>
          <w:b/>
          <w:bCs/>
          <w:lang w:val="vi-VN"/>
        </w:rPr>
        <w:t>Hanoi - 2025</w:t>
      </w:r>
    </w:p>
    <w:p w14:paraId="2F799697" w14:textId="1662F9F6" w:rsidR="006C04C7" w:rsidRPr="0023747C" w:rsidRDefault="00F55346" w:rsidP="004D577F">
      <w:pPr>
        <w:spacing w:line="340" w:lineRule="exact"/>
        <w:ind w:firstLine="284"/>
        <w:jc w:val="center"/>
        <w:rPr>
          <w:b/>
          <w:bCs/>
          <w:lang w:val="vi-VN"/>
        </w:rPr>
      </w:pPr>
      <w:r w:rsidRPr="0023747C">
        <w:rPr>
          <w:b/>
          <w:bCs/>
          <w:noProof/>
          <w:shd w:val="clear" w:color="auto" w:fill="auto"/>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3C2537"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FA1A29" w:rsidRPr="0023747C">
        <w:rPr>
          <w:b/>
          <w:bCs/>
          <w:lang w:val="vi-VN"/>
        </w:rPr>
        <w:t xml:space="preserve">THE </w:t>
      </w:r>
      <w:r w:rsidR="0070275C">
        <w:rPr>
          <w:b/>
          <w:bCs/>
          <w:lang w:val="en-US"/>
        </w:rPr>
        <w:t>DISSERTATION</w:t>
      </w:r>
      <w:r w:rsidR="00FA1A29" w:rsidRPr="0023747C">
        <w:rPr>
          <w:b/>
          <w:bCs/>
          <w:lang w:val="vi-VN"/>
        </w:rPr>
        <w:t xml:space="preserve"> WAS COMPLETED AT</w:t>
      </w:r>
    </w:p>
    <w:p w14:paraId="68CDB58F" w14:textId="100BBFF7" w:rsidR="00FA1A29" w:rsidRPr="0070275C" w:rsidRDefault="0070275C" w:rsidP="004D577F">
      <w:pPr>
        <w:spacing w:line="340" w:lineRule="exact"/>
        <w:ind w:firstLine="284"/>
        <w:jc w:val="center"/>
        <w:rPr>
          <w:rFonts w:eastAsia="Times New Roman"/>
          <w:b/>
          <w:bCs/>
          <w:lang w:val="en-US"/>
        </w:rPr>
      </w:pPr>
      <w:r>
        <w:rPr>
          <w:b/>
          <w:bCs/>
          <w:lang w:val="en-US"/>
        </w:rPr>
        <w:t xml:space="preserve">VIETNAM </w:t>
      </w:r>
      <w:r w:rsidR="00FA1A29" w:rsidRPr="0023747C">
        <w:rPr>
          <w:b/>
          <w:bCs/>
          <w:lang w:val="vi-VN"/>
        </w:rPr>
        <w:t>MILITARY MEDICAL</w:t>
      </w:r>
      <w:r>
        <w:rPr>
          <w:b/>
          <w:bCs/>
          <w:lang w:val="en-US"/>
        </w:rPr>
        <w:t xml:space="preserve"> UNIVERSITY</w:t>
      </w:r>
    </w:p>
    <w:p w14:paraId="2E2BD2AC" w14:textId="77777777" w:rsidR="008824D1" w:rsidRPr="0023747C" w:rsidRDefault="008824D1" w:rsidP="004D577F">
      <w:pPr>
        <w:spacing w:line="340" w:lineRule="exact"/>
        <w:ind w:firstLine="284"/>
        <w:rPr>
          <w:lang w:val="vi-VN"/>
        </w:rPr>
      </w:pPr>
    </w:p>
    <w:p w14:paraId="55FE489B" w14:textId="77777777" w:rsidR="00FA1A29" w:rsidRDefault="00FA1A29" w:rsidP="004D577F">
      <w:pPr>
        <w:spacing w:line="340" w:lineRule="exact"/>
        <w:ind w:firstLine="284"/>
        <w:rPr>
          <w:lang w:val="en-US"/>
        </w:rPr>
      </w:pPr>
    </w:p>
    <w:p w14:paraId="0EFE0FA0" w14:textId="77777777" w:rsidR="00293FE4" w:rsidRPr="00293FE4" w:rsidRDefault="00293FE4" w:rsidP="004D577F">
      <w:pPr>
        <w:spacing w:line="340" w:lineRule="exact"/>
        <w:ind w:firstLine="284"/>
        <w:rPr>
          <w:lang w:val="en-US"/>
        </w:rPr>
      </w:pPr>
    </w:p>
    <w:p w14:paraId="4CA9104F" w14:textId="77777777" w:rsidR="00FA1A29" w:rsidRPr="0023747C" w:rsidRDefault="00FA1A29" w:rsidP="004D577F">
      <w:pPr>
        <w:spacing w:line="340" w:lineRule="exact"/>
        <w:ind w:firstLine="284"/>
        <w:rPr>
          <w:lang w:val="vi-VN"/>
        </w:rPr>
      </w:pPr>
    </w:p>
    <w:p w14:paraId="623DE9A6" w14:textId="0A9648F3" w:rsidR="00DF7863" w:rsidRPr="0070275C" w:rsidRDefault="0070275C" w:rsidP="004D577F">
      <w:pPr>
        <w:spacing w:line="340" w:lineRule="exact"/>
        <w:ind w:firstLine="284"/>
        <w:rPr>
          <w:b/>
          <w:bCs/>
          <w:lang w:val="vi-VN"/>
        </w:rPr>
      </w:pPr>
      <w:r w:rsidRPr="0070275C">
        <w:rPr>
          <w:b/>
          <w:bCs/>
          <w:lang w:val="en-US"/>
        </w:rPr>
        <w:t>S</w:t>
      </w:r>
      <w:r w:rsidR="00DF7863" w:rsidRPr="0070275C">
        <w:rPr>
          <w:b/>
          <w:bCs/>
          <w:lang w:val="vi-VN"/>
        </w:rPr>
        <w:t>upervisor</w:t>
      </w:r>
      <w:r>
        <w:rPr>
          <w:b/>
          <w:bCs/>
          <w:lang w:val="en-US"/>
        </w:rPr>
        <w:t>s</w:t>
      </w:r>
      <w:r w:rsidR="00DF7863" w:rsidRPr="0070275C">
        <w:rPr>
          <w:b/>
          <w:bCs/>
          <w:lang w:val="vi-VN"/>
        </w:rPr>
        <w:t>:</w:t>
      </w:r>
    </w:p>
    <w:p w14:paraId="5171A028" w14:textId="599B1482" w:rsidR="00BA27D0" w:rsidRPr="000B00CF" w:rsidRDefault="004D577F" w:rsidP="00BA27D0">
      <w:pPr>
        <w:spacing w:line="340" w:lineRule="exact"/>
        <w:ind w:firstLine="284"/>
        <w:rPr>
          <w:b/>
          <w:bCs/>
          <w:lang w:val="vi-VN"/>
        </w:rPr>
      </w:pPr>
      <w:r w:rsidRPr="00BA27D0">
        <w:rPr>
          <w:b/>
          <w:bCs/>
          <w:lang w:val="vi-VN"/>
        </w:rPr>
        <w:t xml:space="preserve">                                </w:t>
      </w:r>
      <w:r w:rsidR="00D02DC4" w:rsidRPr="0023747C">
        <w:rPr>
          <w:b/>
          <w:bCs/>
          <w:lang w:val="vi-VN"/>
        </w:rPr>
        <w:t xml:space="preserve">1. </w:t>
      </w:r>
      <w:bookmarkStart w:id="2" w:name="_Hlk225413281"/>
      <w:r w:rsidR="00D02DC4" w:rsidRPr="0023747C">
        <w:rPr>
          <w:b/>
          <w:bCs/>
          <w:lang w:val="vi-VN"/>
        </w:rPr>
        <w:t>Assoc. Prof. Dr</w:t>
      </w:r>
      <w:bookmarkEnd w:id="2"/>
      <w:r w:rsidR="00D02DC4" w:rsidRPr="0023747C">
        <w:rPr>
          <w:b/>
          <w:bCs/>
          <w:lang w:val="vi-VN"/>
        </w:rPr>
        <w:t>. Luong Cong Thuc</w:t>
      </w:r>
    </w:p>
    <w:p w14:paraId="40E41607" w14:textId="6A9176B0" w:rsidR="003C1712" w:rsidRPr="00BA27D0" w:rsidRDefault="00BA27D0" w:rsidP="00BA27D0">
      <w:pPr>
        <w:spacing w:line="340" w:lineRule="exact"/>
        <w:ind w:firstLine="284"/>
        <w:rPr>
          <w:b/>
          <w:bCs/>
          <w:lang w:val="vi-VN"/>
        </w:rPr>
      </w:pPr>
      <w:r w:rsidRPr="000B00CF">
        <w:rPr>
          <w:b/>
          <w:bCs/>
          <w:lang w:val="vi-VN"/>
        </w:rPr>
        <w:tab/>
      </w:r>
      <w:r w:rsidRPr="000B00CF">
        <w:rPr>
          <w:b/>
          <w:bCs/>
          <w:lang w:val="vi-VN"/>
        </w:rPr>
        <w:tab/>
      </w:r>
      <w:r w:rsidRPr="000B00CF">
        <w:rPr>
          <w:b/>
          <w:bCs/>
          <w:lang w:val="vi-VN"/>
        </w:rPr>
        <w:tab/>
      </w:r>
      <w:r w:rsidR="00D02DC4" w:rsidRPr="0023747C">
        <w:rPr>
          <w:b/>
          <w:bCs/>
          <w:lang w:val="vi-VN"/>
        </w:rPr>
        <w:t>2.</w:t>
      </w:r>
      <w:r w:rsidR="00D02DC4" w:rsidRPr="0023747C">
        <w:rPr>
          <w:lang w:val="vi-VN"/>
        </w:rPr>
        <w:t xml:space="preserve"> </w:t>
      </w:r>
      <w:r w:rsidR="00120560" w:rsidRPr="0023747C">
        <w:rPr>
          <w:b/>
          <w:bCs/>
          <w:lang w:val="vi-VN"/>
        </w:rPr>
        <w:t>Assoc. Prof</w:t>
      </w:r>
      <w:r w:rsidRPr="00BA27D0">
        <w:rPr>
          <w:b/>
          <w:bCs/>
          <w:lang w:val="vi-VN"/>
        </w:rPr>
        <w:t>.</w:t>
      </w:r>
      <w:r w:rsidRPr="00BA27D0">
        <w:rPr>
          <w:lang w:val="vi-VN"/>
        </w:rPr>
        <w:t xml:space="preserve"> </w:t>
      </w:r>
      <w:r w:rsidR="003C1712" w:rsidRPr="0023747C">
        <w:rPr>
          <w:b/>
          <w:bCs/>
          <w:lang w:val="vi-VN"/>
        </w:rPr>
        <w:t xml:space="preserve">Dr. </w:t>
      </w:r>
      <w:r w:rsidR="003C1712" w:rsidRPr="0023747C">
        <w:rPr>
          <w:b/>
          <w:lang w:val="vi-VN"/>
        </w:rPr>
        <w:t>Tran Duc Hung</w:t>
      </w:r>
    </w:p>
    <w:p w14:paraId="092DD566" w14:textId="77777777" w:rsidR="00347A37" w:rsidRPr="0023747C" w:rsidRDefault="00347A37" w:rsidP="004D577F">
      <w:pPr>
        <w:spacing w:line="340" w:lineRule="exact"/>
        <w:ind w:firstLine="284"/>
        <w:rPr>
          <w:lang w:val="vi-VN"/>
        </w:rPr>
      </w:pPr>
    </w:p>
    <w:p w14:paraId="36152D02" w14:textId="77777777" w:rsidR="00FA1A29" w:rsidRPr="0023747C" w:rsidRDefault="00FA1A29" w:rsidP="004D577F">
      <w:pPr>
        <w:spacing w:line="340" w:lineRule="exact"/>
        <w:ind w:firstLine="284"/>
        <w:rPr>
          <w:lang w:val="vi-VN"/>
        </w:rPr>
      </w:pPr>
    </w:p>
    <w:p w14:paraId="0EE05646" w14:textId="10537A66" w:rsidR="0070275C" w:rsidRPr="0070275C" w:rsidRDefault="0070275C" w:rsidP="004D577F">
      <w:pPr>
        <w:spacing w:line="340" w:lineRule="exact"/>
        <w:ind w:firstLine="284"/>
        <w:rPr>
          <w:lang w:val="en-US"/>
        </w:rPr>
      </w:pPr>
      <w:bookmarkStart w:id="3" w:name="_Hlk217777785"/>
      <w:r>
        <w:rPr>
          <w:lang w:val="en-US"/>
        </w:rPr>
        <w:t>Reviewer</w:t>
      </w:r>
      <w:bookmarkEnd w:id="3"/>
      <w:r w:rsidR="00B72535" w:rsidRPr="0023747C">
        <w:rPr>
          <w:lang w:val="vi-VN"/>
        </w:rPr>
        <w:t xml:space="preserve"> 1:</w:t>
      </w:r>
      <w:r w:rsidR="00713E41">
        <w:rPr>
          <w:lang w:val="en-US"/>
        </w:rPr>
        <w:t xml:space="preserve"> </w:t>
      </w:r>
      <w:r w:rsidR="00713E41" w:rsidRPr="00713E41">
        <w:rPr>
          <w:lang w:val="en-US"/>
        </w:rPr>
        <w:t>Assoc. Prof. Dr</w:t>
      </w:r>
      <w:r w:rsidR="00713E41">
        <w:rPr>
          <w:lang w:val="en-US"/>
        </w:rPr>
        <w:t xml:space="preserve">. Pham Truong Son, </w:t>
      </w:r>
      <w:r w:rsidR="00AA697D">
        <w:rPr>
          <w:lang w:val="en-US"/>
        </w:rPr>
        <w:t>108 Military Central Hospital.</w:t>
      </w:r>
    </w:p>
    <w:p w14:paraId="5EBEC506" w14:textId="38EB80E3" w:rsidR="0070275C" w:rsidRPr="0070275C" w:rsidRDefault="0070275C" w:rsidP="004D577F">
      <w:pPr>
        <w:spacing w:line="340" w:lineRule="exact"/>
        <w:ind w:firstLine="284"/>
        <w:rPr>
          <w:lang w:val="en-US"/>
        </w:rPr>
      </w:pPr>
      <w:r>
        <w:rPr>
          <w:lang w:val="en-US"/>
        </w:rPr>
        <w:t>Reviewer</w:t>
      </w:r>
      <w:r w:rsidRPr="0023747C">
        <w:rPr>
          <w:lang w:val="vi-VN"/>
        </w:rPr>
        <w:t xml:space="preserve"> </w:t>
      </w:r>
      <w:r w:rsidR="00B72535" w:rsidRPr="0023747C">
        <w:rPr>
          <w:lang w:val="vi-VN"/>
        </w:rPr>
        <w:t>2:</w:t>
      </w:r>
      <w:r w:rsidR="00AA697D">
        <w:rPr>
          <w:lang w:val="en-US"/>
        </w:rPr>
        <w:t xml:space="preserve"> </w:t>
      </w:r>
      <w:r w:rsidR="00AA697D" w:rsidRPr="00713E41">
        <w:rPr>
          <w:lang w:val="en-US"/>
        </w:rPr>
        <w:t>Assoc. Prof. Dr</w:t>
      </w:r>
      <w:r w:rsidR="00AA697D">
        <w:rPr>
          <w:lang w:val="en-US"/>
        </w:rPr>
        <w:t xml:space="preserve"> Le Van Dong, Military </w:t>
      </w:r>
      <w:r w:rsidR="004F1302">
        <w:rPr>
          <w:lang w:val="en-US"/>
        </w:rPr>
        <w:t>Medical Department</w:t>
      </w:r>
      <w:r w:rsidR="00AA697D">
        <w:rPr>
          <w:lang w:val="en-US"/>
        </w:rPr>
        <w:t>.</w:t>
      </w:r>
    </w:p>
    <w:p w14:paraId="1FA698F7" w14:textId="37309ED9" w:rsidR="00B72535" w:rsidRPr="00AA697D" w:rsidRDefault="0070275C" w:rsidP="004D577F">
      <w:pPr>
        <w:spacing w:line="340" w:lineRule="exact"/>
        <w:ind w:firstLine="284"/>
        <w:rPr>
          <w:lang w:val="en-US"/>
        </w:rPr>
      </w:pPr>
      <w:r>
        <w:rPr>
          <w:lang w:val="en-US"/>
        </w:rPr>
        <w:t>Reviewer</w:t>
      </w:r>
      <w:r w:rsidRPr="0023747C">
        <w:rPr>
          <w:lang w:val="vi-VN"/>
        </w:rPr>
        <w:t xml:space="preserve"> </w:t>
      </w:r>
      <w:r w:rsidR="00B72535" w:rsidRPr="0023747C">
        <w:rPr>
          <w:lang w:val="vi-VN"/>
        </w:rPr>
        <w:t>3:</w:t>
      </w:r>
      <w:r w:rsidR="00AA697D">
        <w:rPr>
          <w:lang w:val="en-US"/>
        </w:rPr>
        <w:t xml:space="preserve"> </w:t>
      </w:r>
      <w:r w:rsidR="00AA697D" w:rsidRPr="00713E41">
        <w:rPr>
          <w:lang w:val="en-US"/>
        </w:rPr>
        <w:t>Assoc. Prof. Dr</w:t>
      </w:r>
      <w:r w:rsidR="00AA697D">
        <w:rPr>
          <w:lang w:val="en-US"/>
        </w:rPr>
        <w:t xml:space="preserve"> Nguyen Duy Toan, Vietnam Military Medical University.</w:t>
      </w:r>
    </w:p>
    <w:p w14:paraId="5546EEE8" w14:textId="77777777" w:rsidR="00314EDF" w:rsidRPr="0023747C" w:rsidRDefault="00314EDF" w:rsidP="004D577F">
      <w:pPr>
        <w:spacing w:line="340" w:lineRule="exact"/>
        <w:ind w:firstLine="284"/>
        <w:rPr>
          <w:lang w:val="vi-VN"/>
        </w:rPr>
      </w:pPr>
    </w:p>
    <w:p w14:paraId="0C9AC40B" w14:textId="77777777" w:rsidR="00FA1A29" w:rsidRPr="0023747C" w:rsidRDefault="00FA1A29" w:rsidP="004D577F">
      <w:pPr>
        <w:spacing w:line="340" w:lineRule="exact"/>
        <w:ind w:firstLine="284"/>
        <w:rPr>
          <w:lang w:val="vi-VN"/>
        </w:rPr>
      </w:pPr>
    </w:p>
    <w:p w14:paraId="5E83073C" w14:textId="200C39A2" w:rsidR="00004D33" w:rsidRPr="0023747C" w:rsidRDefault="006C04C7" w:rsidP="004D577F">
      <w:pPr>
        <w:spacing w:line="340" w:lineRule="exact"/>
        <w:ind w:firstLine="284"/>
        <w:jc w:val="center"/>
        <w:rPr>
          <w:lang w:val="vi-VN"/>
        </w:rPr>
      </w:pPr>
      <w:r w:rsidRPr="0023747C">
        <w:rPr>
          <w:lang w:val="vi-VN"/>
        </w:rPr>
        <w:t xml:space="preserve">The dissertation was </w:t>
      </w:r>
      <w:r w:rsidR="00293FE4">
        <w:rPr>
          <w:lang w:val="en-US"/>
        </w:rPr>
        <w:t>presented</w:t>
      </w:r>
      <w:r w:rsidRPr="0023747C">
        <w:rPr>
          <w:lang w:val="vi-VN"/>
        </w:rPr>
        <w:t xml:space="preserve"> before the </w:t>
      </w:r>
      <w:r w:rsidR="00293FE4">
        <w:rPr>
          <w:lang w:val="en-US"/>
        </w:rPr>
        <w:t>E</w:t>
      </w:r>
      <w:r w:rsidRPr="0023747C">
        <w:rPr>
          <w:lang w:val="vi-VN"/>
        </w:rPr>
        <w:t>xamination Board at</w:t>
      </w:r>
    </w:p>
    <w:p w14:paraId="1F551BFB" w14:textId="50EF3D19" w:rsidR="006C04C7" w:rsidRPr="0023747C" w:rsidRDefault="00293FE4" w:rsidP="00AA697D">
      <w:pPr>
        <w:spacing w:line="340" w:lineRule="exact"/>
        <w:ind w:firstLine="284"/>
        <w:jc w:val="center"/>
        <w:rPr>
          <w:lang w:val="vi-VN"/>
        </w:rPr>
      </w:pPr>
      <w:r>
        <w:rPr>
          <w:lang w:val="en-US"/>
        </w:rPr>
        <w:t xml:space="preserve">VietNam </w:t>
      </w:r>
      <w:r w:rsidR="006C04C7" w:rsidRPr="0023747C">
        <w:rPr>
          <w:lang w:val="vi-VN"/>
        </w:rPr>
        <w:t xml:space="preserve">Military Medical </w:t>
      </w:r>
      <w:r>
        <w:rPr>
          <w:lang w:val="en-US"/>
        </w:rPr>
        <w:t>University</w:t>
      </w:r>
      <w:r w:rsidR="006C04C7" w:rsidRPr="0023747C">
        <w:rPr>
          <w:lang w:val="vi-VN"/>
        </w:rPr>
        <w:t xml:space="preserve"> at... o'clock... on... day... month... year 202</w:t>
      </w:r>
      <w:r w:rsidR="00AA697D">
        <w:rPr>
          <w:lang w:val="en-US"/>
        </w:rPr>
        <w:t>6</w:t>
      </w:r>
    </w:p>
    <w:p w14:paraId="0BE29BF8" w14:textId="77777777" w:rsidR="006C04C7" w:rsidRPr="0023747C" w:rsidRDefault="006C04C7" w:rsidP="004D577F">
      <w:pPr>
        <w:spacing w:line="340" w:lineRule="exact"/>
        <w:ind w:firstLine="284"/>
        <w:rPr>
          <w:lang w:val="vi-VN"/>
        </w:rPr>
      </w:pPr>
    </w:p>
    <w:p w14:paraId="3C23AAC5" w14:textId="77777777" w:rsidR="00EB0436" w:rsidRPr="00BA27D0" w:rsidRDefault="00EB0436" w:rsidP="004D577F">
      <w:pPr>
        <w:spacing w:line="340" w:lineRule="exact"/>
        <w:ind w:firstLine="284"/>
        <w:rPr>
          <w:lang w:val="vi-VN"/>
        </w:rPr>
      </w:pPr>
    </w:p>
    <w:p w14:paraId="79AC7BF8" w14:textId="77777777" w:rsidR="004D577F" w:rsidRPr="00BA27D0" w:rsidRDefault="004D577F" w:rsidP="004D577F">
      <w:pPr>
        <w:spacing w:line="340" w:lineRule="exact"/>
        <w:ind w:firstLine="284"/>
        <w:rPr>
          <w:lang w:val="vi-VN"/>
        </w:rPr>
      </w:pPr>
    </w:p>
    <w:p w14:paraId="0F863A49" w14:textId="6A05C13A" w:rsidR="006C04C7" w:rsidRPr="0023747C" w:rsidRDefault="006C04C7" w:rsidP="004D577F">
      <w:pPr>
        <w:spacing w:line="340" w:lineRule="exact"/>
        <w:ind w:firstLine="284"/>
        <w:rPr>
          <w:lang w:val="vi-VN"/>
        </w:rPr>
      </w:pPr>
      <w:r w:rsidRPr="0023747C">
        <w:rPr>
          <w:lang w:val="vi-VN"/>
        </w:rPr>
        <w:t xml:space="preserve">The </w:t>
      </w:r>
      <w:r w:rsidR="00293FE4">
        <w:rPr>
          <w:lang w:val="en-US"/>
        </w:rPr>
        <w:t>dissertation</w:t>
      </w:r>
      <w:r w:rsidRPr="0023747C">
        <w:rPr>
          <w:lang w:val="vi-VN"/>
        </w:rPr>
        <w:t xml:space="preserve"> can be found at:</w:t>
      </w:r>
    </w:p>
    <w:p w14:paraId="2B76B70C" w14:textId="2B7D5B1C" w:rsidR="006C04C7" w:rsidRPr="00293FE4" w:rsidRDefault="006C04C7" w:rsidP="004D577F">
      <w:pPr>
        <w:spacing w:line="340" w:lineRule="exact"/>
        <w:ind w:firstLine="284"/>
        <w:rPr>
          <w:b/>
          <w:lang w:val="en-US"/>
        </w:rPr>
      </w:pPr>
      <w:r w:rsidRPr="0023747C">
        <w:rPr>
          <w:lang w:val="vi-VN"/>
        </w:rPr>
        <w:tab/>
      </w:r>
      <w:r w:rsidRPr="0023747C">
        <w:rPr>
          <w:b/>
          <w:lang w:val="vi-VN"/>
        </w:rPr>
        <w:t>1. National Library</w:t>
      </w:r>
      <w:r w:rsidR="00293FE4">
        <w:rPr>
          <w:b/>
          <w:lang w:val="en-US"/>
        </w:rPr>
        <w:t xml:space="preserve"> of Vietnam</w:t>
      </w:r>
    </w:p>
    <w:p w14:paraId="66817F8E" w14:textId="6A46989B" w:rsidR="006C04C7" w:rsidRPr="00293FE4" w:rsidRDefault="006C04C7" w:rsidP="004D577F">
      <w:pPr>
        <w:spacing w:line="340" w:lineRule="exact"/>
        <w:ind w:firstLine="284"/>
        <w:rPr>
          <w:b/>
          <w:lang w:val="en-US"/>
        </w:rPr>
      </w:pPr>
      <w:r w:rsidRPr="0023747C">
        <w:rPr>
          <w:b/>
          <w:lang w:val="vi-VN"/>
        </w:rPr>
        <w:tab/>
        <w:t xml:space="preserve">2. Library of the </w:t>
      </w:r>
      <w:r w:rsidR="00293FE4">
        <w:rPr>
          <w:b/>
          <w:lang w:val="en-US"/>
        </w:rPr>
        <w:t xml:space="preserve">VietNam </w:t>
      </w:r>
      <w:r w:rsidRPr="0023747C">
        <w:rPr>
          <w:b/>
          <w:lang w:val="vi-VN"/>
        </w:rPr>
        <w:t xml:space="preserve">Military Medical </w:t>
      </w:r>
      <w:r w:rsidR="00293FE4">
        <w:rPr>
          <w:b/>
          <w:lang w:val="en-US"/>
        </w:rPr>
        <w:t>University</w:t>
      </w:r>
    </w:p>
    <w:bookmarkEnd w:id="1"/>
    <w:p w14:paraId="19EA3E87" w14:textId="0853BEB2" w:rsidR="00C62866" w:rsidRPr="00BA27D0" w:rsidRDefault="00C62866" w:rsidP="004D577F">
      <w:pPr>
        <w:spacing w:line="340" w:lineRule="exact"/>
        <w:ind w:firstLine="284"/>
        <w:rPr>
          <w:lang w:val="vi-VN"/>
        </w:rPr>
        <w:sectPr w:rsidR="00C62866" w:rsidRPr="00BA27D0" w:rsidSect="00A12639">
          <w:headerReference w:type="default" r:id="rId11"/>
          <w:pgSz w:w="8420" w:h="11907" w:orient="landscape" w:code="9"/>
          <w:pgMar w:top="1134" w:right="1134" w:bottom="1134" w:left="1134" w:header="567" w:footer="567" w:gutter="0"/>
          <w:pgNumType w:start="1"/>
          <w:cols w:space="720"/>
          <w:docGrid w:linePitch="360"/>
        </w:sectPr>
      </w:pPr>
    </w:p>
    <w:p w14:paraId="24E66F39" w14:textId="347B7181" w:rsidR="00091180" w:rsidRPr="00293FE4" w:rsidRDefault="00293FE4" w:rsidP="004D577F">
      <w:pPr>
        <w:pStyle w:val="Title"/>
        <w:tabs>
          <w:tab w:val="clear" w:pos="0"/>
          <w:tab w:val="clear" w:pos="357"/>
          <w:tab w:val="clear" w:pos="459"/>
          <w:tab w:val="clear" w:pos="567"/>
        </w:tabs>
        <w:ind w:firstLine="284"/>
        <w:rPr>
          <w:lang w:val="en-US"/>
        </w:rPr>
      </w:pPr>
      <w:r>
        <w:rPr>
          <w:lang w:val="en-US"/>
        </w:rPr>
        <w:lastRenderedPageBreak/>
        <w:t>INTRODUCTION</w:t>
      </w:r>
    </w:p>
    <w:p w14:paraId="65834637" w14:textId="30DE4494" w:rsidR="001E2DF8" w:rsidRPr="00FC5BD5" w:rsidRDefault="00BA27D0" w:rsidP="004D577F">
      <w:pPr>
        <w:spacing w:line="340" w:lineRule="exact"/>
        <w:ind w:firstLine="284"/>
        <w:rPr>
          <w:bCs/>
          <w:lang w:val="vi-VN"/>
        </w:rPr>
      </w:pPr>
      <w:r w:rsidRPr="00BA27D0">
        <w:rPr>
          <w:bCs/>
          <w:lang w:val="vi-VN"/>
        </w:rPr>
        <w:t>Acute myocardial infarction (AMI) is a condition characterized by the necrosis of myocardial cells due to an imbalance between the supply and demand of oxygen to the myocardium. Myocardial cell necrosis in patients with acute AMI triggers a series of inflammatory responses, which in turn produce chemical mediators involved in post-AMI remodeling.</w:t>
      </w:r>
    </w:p>
    <w:p w14:paraId="787ACD7D" w14:textId="31DBF1B8" w:rsidR="00BA27D0" w:rsidRPr="000B00CF" w:rsidRDefault="00BA27D0" w:rsidP="004D577F">
      <w:pPr>
        <w:spacing w:line="340" w:lineRule="exact"/>
        <w:ind w:firstLine="284"/>
        <w:rPr>
          <w:bCs/>
          <w:lang w:val="vi-VN"/>
        </w:rPr>
      </w:pPr>
      <w:r w:rsidRPr="00FC5BD5">
        <w:rPr>
          <w:bCs/>
          <w:lang w:val="vi-VN"/>
        </w:rPr>
        <w:t>Matrix metalloproteinase-2 (MMP-2) is an enzyme that plays a role in the breakdown of extracellular matrix, directly involved in myocardial remodeling after myocardial infarction (MI), and its concentration is noted to be elevated in the early post-infarction phase. Besides MMP-2, osteoprotegirin (OPG), a protein belonging to the RANK/RANKL system, has been identified as being involved in inflammation, atherosclerosis, and left ventricular remodeling after MI. Studies have shown that elevated OPG and MMP-2 concentrations after acute MI are associated with cardiovascular events such as heart failure and death. Increased plasma OPG and MMP-2 concentrations after MI also affect myocardial strain, left ventricular end-systolic elasticity, and arterial elasticity, causing decreased total left ventricular longitudinal strain (GLS) and left ventricular-arterial mismatch (VAC). Research into the relationship between biomarkers and echocardiographic parameters contributes to improving treatment efficacy and prognosis for patients after acute myocardial infarction.</w:t>
      </w:r>
    </w:p>
    <w:p w14:paraId="036B3B1B" w14:textId="6D18A51D" w:rsidR="00E61560" w:rsidRPr="0023747C" w:rsidRDefault="00250214" w:rsidP="00090A89">
      <w:pPr>
        <w:spacing w:line="340" w:lineRule="exact"/>
        <w:ind w:firstLine="0"/>
        <w:rPr>
          <w:lang w:val="vi-VN"/>
        </w:rPr>
      </w:pPr>
      <w:r w:rsidRPr="0023747C">
        <w:rPr>
          <w:rFonts w:eastAsia="Times New Roman"/>
          <w:b/>
          <w:lang w:val="it-IT"/>
        </w:rPr>
        <w:t>1. OBJECTIVES OF THE PROJECT</w:t>
      </w:r>
      <w:r w:rsidRPr="0023747C">
        <w:rPr>
          <w:lang w:val="vi-VN"/>
        </w:rPr>
        <w:t xml:space="preserve"> </w:t>
      </w:r>
    </w:p>
    <w:p w14:paraId="36796894" w14:textId="3940A89A" w:rsidR="003C6763" w:rsidRPr="00FC5BD5" w:rsidRDefault="003C6763" w:rsidP="004D577F">
      <w:pPr>
        <w:spacing w:line="340" w:lineRule="exact"/>
        <w:ind w:firstLine="284"/>
        <w:rPr>
          <w:lang w:val="vi-VN"/>
        </w:rPr>
      </w:pPr>
      <w:r w:rsidRPr="0023747C">
        <w:rPr>
          <w:i/>
          <w:iCs/>
          <w:spacing w:val="-2"/>
          <w:lang w:val="vi-VN"/>
        </w:rPr>
        <w:t xml:space="preserve">1.1. </w:t>
      </w:r>
      <w:r w:rsidR="00FC5BD5" w:rsidRPr="00FC5BD5">
        <w:rPr>
          <w:rFonts w:eastAsia="Play"/>
          <w:bCs/>
          <w:i/>
          <w:lang w:val="vi-VN"/>
        </w:rPr>
        <w:t xml:space="preserve">Investigating changes in plasma concentrations of Osteoprotegerin, Matrix Metalloproteinase-2, left ventricular longitudinal tension, and left ventricular-arterial compatibility in </w:t>
      </w:r>
      <w:r w:rsidR="00FC5BD5" w:rsidRPr="00FC5BD5">
        <w:rPr>
          <w:rFonts w:eastAsia="Play"/>
          <w:bCs/>
          <w:i/>
          <w:lang w:val="vi-VN"/>
        </w:rPr>
        <w:lastRenderedPageBreak/>
        <w:t>patients with acute myocardial infarction undergoing percutaneous coronary intervention.</w:t>
      </w:r>
    </w:p>
    <w:p w14:paraId="6AADCFFA" w14:textId="54340511" w:rsidR="003C6763" w:rsidRPr="00FC5BD5" w:rsidRDefault="003C6763" w:rsidP="004D577F">
      <w:pPr>
        <w:spacing w:line="340" w:lineRule="exact"/>
        <w:ind w:firstLine="284"/>
        <w:rPr>
          <w:rFonts w:eastAsia="Play"/>
          <w:i/>
          <w:lang w:val="vi-VN"/>
        </w:rPr>
      </w:pPr>
      <w:r w:rsidRPr="0023747C">
        <w:rPr>
          <w:i/>
          <w:iCs/>
          <w:spacing w:val="-2"/>
          <w:lang w:val="vi-VN"/>
        </w:rPr>
        <w:t xml:space="preserve">1.2. </w:t>
      </w:r>
      <w:r w:rsidR="00FC5BD5" w:rsidRPr="00FC5BD5">
        <w:rPr>
          <w:rFonts w:eastAsia="Play"/>
          <w:i/>
          <w:lang w:val="vi-VN"/>
        </w:rPr>
        <w:t xml:space="preserve">Analysis of the relationship between plasma </w:t>
      </w:r>
      <w:r w:rsidR="00FC5BD5" w:rsidRPr="00FC5BD5">
        <w:rPr>
          <w:rFonts w:eastAsia="Play"/>
          <w:bCs/>
          <w:i/>
          <w:lang w:val="vi-VN"/>
        </w:rPr>
        <w:t xml:space="preserve">osteoprotegerin concentration, Matrix Metalloproteinase-2, left ventricular longitudinal strain, left ventricular </w:t>
      </w:r>
      <w:r w:rsidR="00FC5BD5">
        <w:rPr>
          <w:rFonts w:eastAsia="Play"/>
          <w:bCs/>
          <w:i/>
          <w:lang w:val="vi-VN"/>
        </w:rPr>
        <w:t>-arterial compatibility with clinical and paraclinical characteristics and cardiovascular events in patients with acute myocardial infarction undergoing percutaneous coronary intervention.</w:t>
      </w:r>
    </w:p>
    <w:p w14:paraId="3274A97D" w14:textId="77777777" w:rsidR="00E26C22" w:rsidRPr="00E26C22" w:rsidRDefault="00250214" w:rsidP="00E26C22">
      <w:pPr>
        <w:spacing w:line="340" w:lineRule="exact"/>
        <w:ind w:firstLine="0"/>
        <w:jc w:val="left"/>
        <w:rPr>
          <w:rFonts w:eastAsia="Times New Roman"/>
          <w:b/>
          <w:bCs/>
          <w:color w:val="000000" w:themeColor="text1"/>
          <w:lang w:val="vi-VN"/>
        </w:rPr>
      </w:pPr>
      <w:r w:rsidRPr="0023747C">
        <w:rPr>
          <w:b/>
          <w:bCs/>
          <w:lang w:val="vi-VN"/>
        </w:rPr>
        <w:t>2. NEW CONTRIBUTIONS OF THE THESIS</w:t>
      </w:r>
    </w:p>
    <w:p w14:paraId="24B0ECDD" w14:textId="16B0254E" w:rsidR="00C2219B" w:rsidRPr="00BA27D0" w:rsidRDefault="00E26C22" w:rsidP="00E26C22">
      <w:pPr>
        <w:spacing w:line="340" w:lineRule="exact"/>
        <w:ind w:firstLine="0"/>
        <w:rPr>
          <w:rFonts w:eastAsia="Times New Roman"/>
          <w:b/>
          <w:bCs/>
          <w:color w:val="000000" w:themeColor="text1"/>
          <w:lang w:val="vi-VN"/>
        </w:rPr>
      </w:pPr>
      <w:r w:rsidRPr="00E26C22">
        <w:rPr>
          <w:rFonts w:eastAsia="Times New Roman"/>
          <w:b/>
          <w:bCs/>
          <w:color w:val="000000" w:themeColor="text1"/>
          <w:lang w:val="vi-VN"/>
        </w:rPr>
        <w:t xml:space="preserve">        </w:t>
      </w:r>
      <w:r w:rsidR="005F0EB1" w:rsidRPr="005F0EB1">
        <w:rPr>
          <w:lang w:val="it-IT"/>
        </w:rPr>
        <w:t xml:space="preserve">This is the first study in Vietnam investigating the changes in OPG and MMP-2 concentrations, as well as the relationship between these two biomarkers and echocardiographic indices (VAC, GLS) with clinical and paraclinical characteristics and cardiovascular events in patients with acute myocardial infarction (AMI) after coronary artery intervention </w:t>
      </w:r>
      <w:r w:rsidR="005F0EB1" w:rsidRPr="005F0EB1">
        <w:rPr>
          <w:noProof/>
          <w:lang w:val="it-IT"/>
        </w:rPr>
        <w:t xml:space="preserve">. </w:t>
      </w:r>
      <w:r w:rsidR="005F0EB1" w:rsidRPr="00BA27D0">
        <w:rPr>
          <w:noProof/>
          <w:lang w:val="vi-VN"/>
        </w:rPr>
        <w:t>The results showed:</w:t>
      </w:r>
    </w:p>
    <w:p w14:paraId="7E33DE1A" w14:textId="322B7CB7" w:rsidR="00E26C22" w:rsidRPr="00E26C22" w:rsidRDefault="00E26C22" w:rsidP="00E26C22">
      <w:pPr>
        <w:spacing w:line="340" w:lineRule="exact"/>
        <w:ind w:firstLine="0"/>
        <w:rPr>
          <w:rFonts w:eastAsia="Times New Roman"/>
          <w:bCs/>
          <w:color w:val="000000"/>
          <w:lang w:val="vi-VN"/>
        </w:rPr>
      </w:pPr>
      <w:r w:rsidRPr="00E26C22">
        <w:rPr>
          <w:rFonts w:eastAsia="Times New Roman"/>
          <w:bCs/>
          <w:color w:val="000000"/>
          <w:lang w:val="vi-VN"/>
        </w:rPr>
        <w:t>Optogent (OPG) levels at admission correlated positively with age (r = 0.527, p &lt; 0.001), troponin (r = 0.346, p &lt; 0.001), CK-MB (r = 0.323, p &lt; 0.001), and NT-pro BNP (r = 0.337, p &lt; 0.007). The OPG level was able to differentiate between single-vessel and multi-vessel coronary artery lesions at the cutoff point of 2283.85 pg/ml, with a sensitivity of 61% and a specificity of 67.9% (p &lt; 0.05).</w:t>
      </w:r>
    </w:p>
    <w:p w14:paraId="7B80BDC1" w14:textId="018B1C2A" w:rsidR="00E26C22" w:rsidRPr="000B00CF" w:rsidRDefault="00E26C22" w:rsidP="00E26C22">
      <w:pPr>
        <w:spacing w:line="340" w:lineRule="exact"/>
        <w:ind w:firstLine="0"/>
        <w:rPr>
          <w:rFonts w:eastAsia="Times New Roman"/>
          <w:bCs/>
          <w:color w:val="000000"/>
          <w:lang w:val="vi-VN"/>
        </w:rPr>
      </w:pPr>
      <w:r w:rsidRPr="00E26C22">
        <w:rPr>
          <w:rFonts w:eastAsia="Times New Roman"/>
          <w:bCs/>
          <w:color w:val="000000"/>
          <w:lang w:val="vi-VN"/>
        </w:rPr>
        <w:t>MMP-2 levels correlated positively with age (r = 0.17, p = 0.04), left ventricular systolic volume (r = 0.223, p = 0.009), left ventricular diastolic volume (r = 0.221, p = 0.010), and negatively with left ventricular end-systolic elasticity (r = -0.17, p = 0.05). MMP-2 levels were elevated upon admission in the LVEF ≤ 35% group and the group with VAC &gt; 1.</w:t>
      </w:r>
    </w:p>
    <w:p w14:paraId="72FD65EB" w14:textId="16D3CE0B" w:rsidR="00E26C22" w:rsidRPr="000B00CF" w:rsidRDefault="00E26C22" w:rsidP="00E26C22">
      <w:pPr>
        <w:spacing w:line="340" w:lineRule="exact"/>
        <w:ind w:firstLine="0"/>
        <w:rPr>
          <w:rFonts w:eastAsia="Times New Roman"/>
          <w:bCs/>
          <w:color w:val="000000"/>
          <w:lang w:val="vi-VN"/>
        </w:rPr>
      </w:pPr>
      <w:r w:rsidRPr="000B00CF">
        <w:rPr>
          <w:rFonts w:eastAsia="Times New Roman"/>
          <w:bCs/>
          <w:color w:val="000000"/>
          <w:lang w:val="vi-VN"/>
        </w:rPr>
        <w:lastRenderedPageBreak/>
        <w:t>A GLS ≥ -12.4% (sensitivity 90%, specificity 50%) has predictive value for major cardiovascular events after 12 months. A GLS ≥ -11.4% (sensitivity 100%, specificity 60.2%) and VAC ≥ 0.58 (sensitivity 92.3%, specificity 45.5%) have predictive value for re-hospitalization for heart failure following acute myocardial infarction.</w:t>
      </w:r>
    </w:p>
    <w:p w14:paraId="1071E9AA" w14:textId="67B39F10" w:rsidR="00133598" w:rsidRPr="00E26C22" w:rsidRDefault="00133598" w:rsidP="00E26C22">
      <w:pPr>
        <w:spacing w:line="340" w:lineRule="exact"/>
        <w:ind w:firstLine="0"/>
        <w:rPr>
          <w:rFonts w:eastAsia="Times New Roman"/>
          <w:bCs/>
          <w:color w:val="000000"/>
          <w:lang w:val="vi-VN"/>
        </w:rPr>
      </w:pPr>
      <w:r w:rsidRPr="000B00CF">
        <w:rPr>
          <w:rFonts w:eastAsia="Times New Roman"/>
          <w:bCs/>
          <w:color w:val="000000"/>
          <w:lang w:val="vi-VN"/>
        </w:rPr>
        <w:t>Multivariate Logistic Regression Analysis: VAC, GLS, and plasma OPG concentration at admission were independent prognostic factors predicting adverse cardiovascular events after 12 months. VAC and GLS were two independent prognostic factors predicting rehospitalization for heart failure after acute myocardial infarction.</w:t>
      </w:r>
    </w:p>
    <w:p w14:paraId="6801089C" w14:textId="16EC3181" w:rsidR="00250214" w:rsidRPr="00983165" w:rsidRDefault="00250214" w:rsidP="00090A89">
      <w:pPr>
        <w:spacing w:line="340" w:lineRule="exact"/>
        <w:ind w:firstLine="0"/>
        <w:rPr>
          <w:b/>
          <w:bCs/>
          <w:lang w:val="it-IT"/>
        </w:rPr>
      </w:pPr>
      <w:r w:rsidRPr="00983165">
        <w:rPr>
          <w:b/>
          <w:bCs/>
          <w:lang w:val="it-IT"/>
        </w:rPr>
        <w:t>3. STRUCTURE OF THE THESIS</w:t>
      </w:r>
    </w:p>
    <w:p w14:paraId="1F2107F8" w14:textId="28BB3003" w:rsidR="00983165" w:rsidRPr="00BA27D0" w:rsidRDefault="003C6763" w:rsidP="004D577F">
      <w:pPr>
        <w:spacing w:line="340" w:lineRule="exact"/>
        <w:ind w:firstLine="284"/>
        <w:rPr>
          <w:lang w:val="it-IT"/>
        </w:rPr>
      </w:pPr>
      <w:r w:rsidRPr="0023747C">
        <w:rPr>
          <w:lang w:val="it-IT"/>
        </w:rPr>
        <w:t>The dissertation comprises 12</w:t>
      </w:r>
      <w:r w:rsidR="00246DCD">
        <w:rPr>
          <w:lang w:val="it-IT"/>
        </w:rPr>
        <w:t>8</w:t>
      </w:r>
      <w:r w:rsidRPr="0023747C">
        <w:rPr>
          <w:lang w:val="it-IT"/>
        </w:rPr>
        <w:t xml:space="preserve"> pages, including: problem statement (2 pages), literature review (33 pages), research subjects and methods (2</w:t>
      </w:r>
      <w:r w:rsidR="00246DCD">
        <w:rPr>
          <w:lang w:val="it-IT"/>
        </w:rPr>
        <w:t>5</w:t>
      </w:r>
      <w:r w:rsidRPr="0023747C">
        <w:rPr>
          <w:lang w:val="it-IT"/>
        </w:rPr>
        <w:t xml:space="preserve"> pages), research results (32 pages), discussion (32 pages), limitations of the study (1 page), conclusion (2 pages), and recommendations (1 page).</w:t>
      </w:r>
      <w:r w:rsidR="00C2219B" w:rsidRPr="0023747C">
        <w:rPr>
          <w:lang w:val="vi-VN"/>
        </w:rPr>
        <w:t xml:space="preserve"> </w:t>
      </w:r>
    </w:p>
    <w:p w14:paraId="713E22A7" w14:textId="658AF1B8" w:rsidR="00983165" w:rsidRDefault="003C6763" w:rsidP="004D577F">
      <w:pPr>
        <w:spacing w:line="340" w:lineRule="exact"/>
        <w:ind w:firstLine="284"/>
        <w:rPr>
          <w:lang w:val="it-IT"/>
        </w:rPr>
      </w:pPr>
      <w:r w:rsidRPr="0023747C">
        <w:rPr>
          <w:lang w:val="it-IT"/>
        </w:rPr>
        <w:t xml:space="preserve">The thesis has </w:t>
      </w:r>
      <w:r w:rsidR="006A675D" w:rsidRPr="0023747C">
        <w:rPr>
          <w:lang w:val="vi-VN"/>
        </w:rPr>
        <w:t xml:space="preserve">46 </w:t>
      </w:r>
      <w:r w:rsidR="00133598">
        <w:rPr>
          <w:lang w:val="it-IT"/>
        </w:rPr>
        <w:t>tables.</w:t>
      </w:r>
      <w:r w:rsidR="006A675D" w:rsidRPr="0023747C">
        <w:rPr>
          <w:lang w:val="vi-VN"/>
        </w:rPr>
        <w:t xml:space="preserve"> </w:t>
      </w:r>
      <w:r w:rsidR="00133598">
        <w:rPr>
          <w:lang w:val="it-IT"/>
        </w:rPr>
        <w:t>9 charts, 14 figures.</w:t>
      </w:r>
    </w:p>
    <w:p w14:paraId="5656EB4E" w14:textId="61EABA35" w:rsidR="00AE0B73" w:rsidRDefault="003C6763" w:rsidP="00AE0B73">
      <w:pPr>
        <w:spacing w:line="340" w:lineRule="exact"/>
        <w:ind w:firstLine="284"/>
        <w:rPr>
          <w:lang w:val="it-IT"/>
        </w:rPr>
      </w:pPr>
      <w:r w:rsidRPr="0023747C">
        <w:rPr>
          <w:lang w:val="it-IT"/>
        </w:rPr>
        <w:t xml:space="preserve">The thesis has </w:t>
      </w:r>
      <w:r w:rsidR="006A675D" w:rsidRPr="0023747C">
        <w:rPr>
          <w:lang w:val="vi-VN"/>
        </w:rPr>
        <w:t>16</w:t>
      </w:r>
      <w:r w:rsidR="00246DCD">
        <w:rPr>
          <w:lang w:val="en-US"/>
        </w:rPr>
        <w:t>8</w:t>
      </w:r>
      <w:r w:rsidR="006A675D" w:rsidRPr="0023747C">
        <w:rPr>
          <w:lang w:val="vi-VN"/>
        </w:rPr>
        <w:t xml:space="preserve"> </w:t>
      </w:r>
      <w:r w:rsidR="00133598" w:rsidRPr="00133598">
        <w:rPr>
          <w:lang w:val="it-IT"/>
        </w:rPr>
        <w:t>references (8</w:t>
      </w:r>
      <w:r w:rsidR="00C2219B" w:rsidRPr="0023747C">
        <w:rPr>
          <w:lang w:val="vi-VN"/>
        </w:rPr>
        <w:t xml:space="preserve"> </w:t>
      </w:r>
      <w:r w:rsidRPr="0023747C">
        <w:rPr>
          <w:lang w:val="it-IT"/>
        </w:rPr>
        <w:t xml:space="preserve">Vietnamese documents, </w:t>
      </w:r>
      <w:r w:rsidR="00C2219B" w:rsidRPr="0023747C">
        <w:rPr>
          <w:lang w:val="vi-VN"/>
        </w:rPr>
        <w:t>1</w:t>
      </w:r>
      <w:r w:rsidR="00246DCD">
        <w:rPr>
          <w:lang w:val="en-US"/>
        </w:rPr>
        <w:t>60</w:t>
      </w:r>
      <w:r w:rsidR="00C2219B" w:rsidRPr="0023747C">
        <w:rPr>
          <w:lang w:val="vi-VN"/>
        </w:rPr>
        <w:t xml:space="preserve"> </w:t>
      </w:r>
      <w:r w:rsidR="00FD138C" w:rsidRPr="00FD138C">
        <w:rPr>
          <w:lang w:val="it-IT"/>
        </w:rPr>
        <w:t>English documents).</w:t>
      </w:r>
      <w:r w:rsidR="006A675D" w:rsidRPr="0023747C">
        <w:rPr>
          <w:lang w:val="vi-VN"/>
        </w:rPr>
        <w:t xml:space="preserve"> </w:t>
      </w:r>
    </w:p>
    <w:p w14:paraId="6501DB80" w14:textId="60FC9E6F" w:rsidR="00820108" w:rsidRPr="00AE0B73" w:rsidRDefault="00820108" w:rsidP="00AE0B73">
      <w:pPr>
        <w:spacing w:line="340" w:lineRule="exact"/>
        <w:ind w:firstLine="0"/>
        <w:jc w:val="center"/>
        <w:rPr>
          <w:b/>
          <w:bCs/>
          <w:lang w:val="it-IT"/>
        </w:rPr>
      </w:pPr>
      <w:r w:rsidRPr="00AE0B73">
        <w:rPr>
          <w:b/>
          <w:bCs/>
        </w:rPr>
        <w:t>Chapter 1. Literature Review</w:t>
      </w:r>
    </w:p>
    <w:p w14:paraId="7855DFDA" w14:textId="3DD4DA50" w:rsidR="000B00CF" w:rsidRDefault="00135981" w:rsidP="00090A89">
      <w:pPr>
        <w:spacing w:line="340" w:lineRule="exact"/>
        <w:ind w:firstLine="0"/>
        <w:rPr>
          <w:b/>
          <w:bCs/>
          <w:iCs/>
          <w:lang w:val="it-IT"/>
        </w:rPr>
      </w:pPr>
      <w:r w:rsidRPr="0023747C">
        <w:rPr>
          <w:b/>
          <w:bCs/>
          <w:iCs/>
          <w:lang w:val="it-IT"/>
        </w:rPr>
        <w:t>1.1. Acute myocardial infarction</w:t>
      </w:r>
    </w:p>
    <w:p w14:paraId="76EE1B69" w14:textId="0931E2D6" w:rsidR="000B00CF" w:rsidRDefault="000B00CF" w:rsidP="00090A89">
      <w:pPr>
        <w:spacing w:line="340" w:lineRule="exact"/>
        <w:ind w:firstLine="0"/>
        <w:rPr>
          <w:b/>
          <w:bCs/>
          <w:i/>
          <w:lang w:val="it-IT"/>
        </w:rPr>
      </w:pPr>
      <w:r>
        <w:rPr>
          <w:b/>
          <w:bCs/>
          <w:i/>
          <w:lang w:val="it-IT"/>
        </w:rPr>
        <w:t>1.1.1. Definition</w:t>
      </w:r>
    </w:p>
    <w:p w14:paraId="4B364686" w14:textId="009BD1BB" w:rsidR="000B00CF" w:rsidRDefault="000B00CF" w:rsidP="00090A89">
      <w:pPr>
        <w:spacing w:line="340" w:lineRule="exact"/>
        <w:ind w:firstLine="0"/>
        <w:rPr>
          <w:iCs/>
          <w:lang w:val="it-IT"/>
        </w:rPr>
      </w:pPr>
      <w:r>
        <w:rPr>
          <w:b/>
          <w:bCs/>
          <w:i/>
          <w:lang w:val="it-IT"/>
        </w:rPr>
        <w:tab/>
      </w:r>
      <w:r>
        <w:rPr>
          <w:iCs/>
          <w:lang w:val="it-IT"/>
        </w:rPr>
        <w:t>Acute myocardial infarction (AMI) is a condition in which myocardial cells are necrosed due to an imbalance between the supply and demand of oxygen in the myocardium. Currently, AMI is divided into two types: ST-elevation acute myocardial infarction (STEMI) and non-ST-elevation acute myocardial infarction (NSTEMI).</w:t>
      </w:r>
    </w:p>
    <w:p w14:paraId="75A8EB55" w14:textId="3B380F2F" w:rsidR="000B00CF" w:rsidRDefault="000B00CF" w:rsidP="00090A89">
      <w:pPr>
        <w:spacing w:line="340" w:lineRule="exact"/>
        <w:ind w:firstLine="0"/>
        <w:rPr>
          <w:b/>
          <w:bCs/>
          <w:i/>
          <w:lang w:val="it-IT"/>
        </w:rPr>
      </w:pPr>
      <w:r>
        <w:rPr>
          <w:b/>
          <w:bCs/>
          <w:i/>
          <w:lang w:val="it-IT"/>
        </w:rPr>
        <w:lastRenderedPageBreak/>
        <w:t>1.1.2. Mechanism of increased plasma secretion of Osteoprotegerin and Matrix Metalloproteinase-2 in acute myocardial infarction.</w:t>
      </w:r>
    </w:p>
    <w:p w14:paraId="798EEFB6" w14:textId="412BB49B" w:rsidR="000B00CF" w:rsidRDefault="000B00CF" w:rsidP="00090A89">
      <w:pPr>
        <w:spacing w:line="340" w:lineRule="exact"/>
        <w:ind w:firstLine="0"/>
        <w:rPr>
          <w:b/>
          <w:bCs/>
          <w:i/>
          <w:lang w:val="it-IT"/>
        </w:rPr>
      </w:pPr>
      <w:r>
        <w:rPr>
          <w:b/>
          <w:bCs/>
          <w:i/>
          <w:lang w:val="it-IT"/>
        </w:rPr>
        <w:t>* Osteoprotegerin (OPG)</w:t>
      </w:r>
    </w:p>
    <w:p w14:paraId="7A65482E" w14:textId="77777777" w:rsidR="000B00CF" w:rsidRPr="000B00CF" w:rsidRDefault="000B00CF" w:rsidP="000B00CF">
      <w:pPr>
        <w:spacing w:line="340" w:lineRule="exact"/>
        <w:ind w:firstLine="0"/>
        <w:rPr>
          <w:iCs/>
          <w:lang w:val="it-IT"/>
        </w:rPr>
      </w:pPr>
      <w:r>
        <w:rPr>
          <w:iCs/>
          <w:lang w:val="it-IT"/>
        </w:rPr>
        <w:tab/>
      </w:r>
      <w:r w:rsidRPr="000B00CF">
        <w:rPr>
          <w:iCs/>
          <w:lang w:val="it-IT"/>
        </w:rPr>
        <w:t>Osteoprotegerin (OPG) is a soluble glycoprotein belonging to the tumor necrosis factor (TNF) receptor family. In the inflammatory phase following myocardial infarction, the mechanisms of increased OPG include:</w:t>
      </w:r>
    </w:p>
    <w:p w14:paraId="0AD3640B" w14:textId="7B908E87" w:rsidR="000B00CF" w:rsidRDefault="000B00CF" w:rsidP="000B00CF">
      <w:pPr>
        <w:spacing w:line="340" w:lineRule="exact"/>
        <w:ind w:firstLine="0"/>
        <w:rPr>
          <w:iCs/>
          <w:lang w:val="it-IT"/>
        </w:rPr>
      </w:pPr>
      <w:r w:rsidRPr="000B00CF">
        <w:rPr>
          <w:iCs/>
          <w:lang w:val="it-IT"/>
        </w:rPr>
        <w:t>- TNF-α and Interleukin (IL)-1β increase sharply after myocardial infarction, activating NF-κB in endothelial cells, vascular smooth muscle cells, and immune cells, thereby increasing transcription and OPG secretion.</w:t>
      </w:r>
    </w:p>
    <w:p w14:paraId="15D57D54" w14:textId="53A04883" w:rsidR="000B00CF" w:rsidRDefault="000B00CF" w:rsidP="000B00CF">
      <w:pPr>
        <w:spacing w:line="340" w:lineRule="exact"/>
        <w:ind w:firstLine="0"/>
        <w:rPr>
          <w:iCs/>
          <w:lang w:val="it-IT"/>
        </w:rPr>
      </w:pPr>
      <w:r>
        <w:rPr>
          <w:iCs/>
          <w:lang w:val="it-IT"/>
        </w:rPr>
        <w:t>- Myocardial ischemia and subsequent reperfusion cause oxidative stress in the vascular endothelium, leading to endothelial damage and dysfunction.</w:t>
      </w:r>
    </w:p>
    <w:p w14:paraId="7F7435E3" w14:textId="7E227835" w:rsidR="000B00CF" w:rsidRDefault="000B00CF" w:rsidP="000B00CF">
      <w:pPr>
        <w:spacing w:line="340" w:lineRule="exact"/>
        <w:ind w:firstLine="0"/>
        <w:rPr>
          <w:b/>
          <w:bCs/>
          <w:i/>
          <w:lang w:val="it-IT"/>
        </w:rPr>
      </w:pPr>
      <w:r>
        <w:rPr>
          <w:b/>
          <w:bCs/>
          <w:i/>
          <w:lang w:val="it-IT"/>
        </w:rPr>
        <w:t>* Matrix Metalloproteinase – 2</w:t>
      </w:r>
    </w:p>
    <w:p w14:paraId="1133AA47" w14:textId="477288B0" w:rsidR="000B00CF" w:rsidRDefault="000B00CF" w:rsidP="000B00CF">
      <w:pPr>
        <w:spacing w:line="340" w:lineRule="exact"/>
        <w:ind w:firstLine="0"/>
        <w:rPr>
          <w:iCs/>
          <w:lang w:val="it-IT"/>
        </w:rPr>
      </w:pPr>
      <w:r>
        <w:rPr>
          <w:iCs/>
          <w:lang w:val="it-IT"/>
        </w:rPr>
        <w:tab/>
      </w:r>
      <w:r w:rsidRPr="000B00CF">
        <w:rPr>
          <w:iCs/>
          <w:lang w:val="it-IT"/>
        </w:rPr>
        <w:t>Matrix metalloproteinase-2 (MMP-2) is an enzyme that breaks down the extracellular matrix and plays a crucial role in collagen degradation, altering the supporting framework of myocardial tissue. During the inflammatory phase of post-myocardial infarction healing, the structural proteins of the ECM degrade and fragment, and a temporary deposition of a new ECM network occurs. This temporary matrix network creates a favorable environment for the migration of inflammatory cells as well as cells involved in tissue repair. Numerous studies have demonstrated the role of MMP in the release of TNF-α from cell surfaces and in modulating the activity of chemokines, interleukin-1 (IL-1), and transforming growth factor-β (TGF-β), thereby directly influencing the intensity and progression of the inflammatory response after myocardial infarction.</w:t>
      </w:r>
    </w:p>
    <w:p w14:paraId="0A8D1029" w14:textId="0054C038" w:rsidR="008107A5" w:rsidRPr="008107A5" w:rsidRDefault="008107A5" w:rsidP="000B00CF">
      <w:pPr>
        <w:spacing w:line="340" w:lineRule="exact"/>
        <w:ind w:firstLine="0"/>
        <w:rPr>
          <w:b/>
          <w:bCs/>
          <w:iCs/>
          <w:lang w:val="it-IT"/>
        </w:rPr>
      </w:pPr>
      <w:r>
        <w:rPr>
          <w:b/>
          <w:bCs/>
          <w:iCs/>
          <w:lang w:val="it-IT"/>
        </w:rPr>
        <w:lastRenderedPageBreak/>
        <w:t>1.2. The relationship between OPG, MMP-2 and VAC, GLS.</w:t>
      </w:r>
    </w:p>
    <w:p w14:paraId="5A71F741" w14:textId="303A62A8" w:rsidR="008107A5" w:rsidRPr="008107A5" w:rsidRDefault="00135981" w:rsidP="008107A5">
      <w:pPr>
        <w:spacing w:line="340" w:lineRule="exact"/>
        <w:ind w:firstLine="0"/>
        <w:rPr>
          <w:b/>
          <w:bCs/>
          <w:i/>
          <w:iCs/>
          <w:lang w:val="it-IT"/>
        </w:rPr>
      </w:pPr>
      <w:r w:rsidRPr="0023747C">
        <w:rPr>
          <w:b/>
          <w:bCs/>
          <w:i/>
          <w:iCs/>
          <w:lang w:val="it-IT"/>
        </w:rPr>
        <w:t>1.2.1. The relationship between OPG, MMP-2 and GLS.</w:t>
      </w:r>
      <w:bookmarkStart w:id="4" w:name="_Toc176459789"/>
      <w:bookmarkStart w:id="5" w:name="_Toc177210183"/>
      <w:bookmarkStart w:id="6" w:name="_Toc181649357"/>
    </w:p>
    <w:p w14:paraId="02C787D6" w14:textId="77777777" w:rsidR="008107A5" w:rsidRDefault="008107A5" w:rsidP="008107A5">
      <w:pPr>
        <w:spacing w:line="340" w:lineRule="exact"/>
        <w:ind w:firstLine="0"/>
        <w:rPr>
          <w:b/>
          <w:bCs/>
          <w:i/>
          <w:iCs/>
          <w:lang w:val="it-IT"/>
        </w:rPr>
      </w:pPr>
      <w:r w:rsidRPr="008107A5">
        <w:rPr>
          <w:b/>
          <w:bCs/>
          <w:i/>
          <w:iCs/>
          <w:lang w:val="it-IT"/>
        </w:rPr>
        <w:t>*</w:t>
      </w:r>
      <w:r w:rsidR="005D1F75" w:rsidRPr="0023747C">
        <w:rPr>
          <w:b/>
          <w:bCs/>
          <w:i/>
          <w:iCs/>
          <w:lang w:val="vi-VN"/>
        </w:rPr>
        <w:t xml:space="preserve"> </w:t>
      </w:r>
      <w:r w:rsidRPr="008107A5">
        <w:rPr>
          <w:b/>
          <w:bCs/>
          <w:i/>
          <w:iCs/>
          <w:lang w:val="it-IT"/>
        </w:rPr>
        <w:t>OPG and GLS</w:t>
      </w:r>
    </w:p>
    <w:p w14:paraId="1A709CBA" w14:textId="471EAF0C" w:rsidR="00275F99" w:rsidRDefault="008107A5" w:rsidP="008107A5">
      <w:pPr>
        <w:spacing w:line="340" w:lineRule="exact"/>
        <w:ind w:firstLine="0"/>
        <w:rPr>
          <w:color w:val="000000"/>
          <w:lang w:val="it-IT"/>
        </w:rPr>
      </w:pPr>
      <w:r>
        <w:rPr>
          <w:lang w:val="it-IT"/>
        </w:rPr>
        <w:tab/>
      </w:r>
      <w:r w:rsidRPr="008107A5">
        <w:rPr>
          <w:color w:val="000000"/>
          <w:lang w:val="it-IT"/>
        </w:rPr>
        <w:t>Studies have shown that elevated plasma OPG is associated with decreased GLS (Elnur Alizade (2024), Ezgi Kalaycioglu (2014)). This is because OPG is involved in myocardial fibrosis. Collagen deposition and interstitial fibrosis reduce the longitudinal contractility of myocardial fibers (since longitudinally oriented fibers lie beneath the endothelium, they are more susceptible to myocardial ischemia and fibrosis).</w:t>
      </w:r>
    </w:p>
    <w:p w14:paraId="7B13DDA1" w14:textId="5BE71776" w:rsidR="00CB090E" w:rsidRDefault="00CB090E" w:rsidP="008107A5">
      <w:pPr>
        <w:spacing w:line="340" w:lineRule="exact"/>
        <w:ind w:firstLine="0"/>
        <w:rPr>
          <w:b/>
          <w:bCs/>
          <w:i/>
          <w:iCs/>
          <w:color w:val="000000"/>
          <w:lang w:val="it-IT"/>
        </w:rPr>
      </w:pPr>
      <w:r>
        <w:rPr>
          <w:b/>
          <w:bCs/>
          <w:i/>
          <w:iCs/>
          <w:color w:val="000000"/>
          <w:lang w:val="it-IT"/>
        </w:rPr>
        <w:t>* MMP-2 and GLS</w:t>
      </w:r>
    </w:p>
    <w:p w14:paraId="6ED4FAA4" w14:textId="6F0752E2" w:rsidR="00CB090E" w:rsidRDefault="00CB090E" w:rsidP="008107A5">
      <w:pPr>
        <w:spacing w:line="340" w:lineRule="exact"/>
        <w:ind w:firstLine="0"/>
        <w:rPr>
          <w:color w:val="000000"/>
          <w:lang w:val="it-IT"/>
        </w:rPr>
      </w:pPr>
      <w:r>
        <w:rPr>
          <w:b/>
          <w:bCs/>
          <w:i/>
          <w:iCs/>
          <w:color w:val="000000"/>
          <w:lang w:val="it-IT"/>
        </w:rPr>
        <w:tab/>
      </w:r>
      <w:r>
        <w:rPr>
          <w:color w:val="000000"/>
          <w:lang w:val="it-IT"/>
        </w:rPr>
        <w:t>Elevated MMP-2 disrupts the normal collagen network structure and activates replacement fibrosis, causing fibrosis of the left ventricle and left atrium, which reduces cardiac function and myocardial strain (Leo F. Buckley (2023), TV Kalinkia (2021)).</w:t>
      </w:r>
    </w:p>
    <w:p w14:paraId="30A9587D" w14:textId="202F4314" w:rsidR="00CB090E" w:rsidRPr="00CB090E" w:rsidRDefault="00CB090E" w:rsidP="008107A5">
      <w:pPr>
        <w:spacing w:line="340" w:lineRule="exact"/>
        <w:ind w:firstLine="0"/>
        <w:rPr>
          <w:color w:val="000000"/>
          <w:lang w:val="it-IT"/>
        </w:rPr>
      </w:pPr>
      <w:r w:rsidRPr="0023747C">
        <w:rPr>
          <w:b/>
          <w:bCs/>
          <w:i/>
          <w:iCs/>
          <w:lang w:val="it-IT"/>
        </w:rPr>
        <w:t>1.2.2. The relationship between OPG, MMP-2 and VAC</w:t>
      </w:r>
    </w:p>
    <w:p w14:paraId="2924A46B" w14:textId="233530F5" w:rsidR="00CB090E" w:rsidRDefault="00CB090E" w:rsidP="008107A5">
      <w:pPr>
        <w:spacing w:line="340" w:lineRule="exact"/>
        <w:ind w:firstLine="0"/>
        <w:rPr>
          <w:b/>
          <w:bCs/>
          <w:i/>
          <w:iCs/>
          <w:color w:val="000000"/>
          <w:lang w:val="it-IT"/>
        </w:rPr>
      </w:pPr>
      <w:r>
        <w:rPr>
          <w:b/>
          <w:bCs/>
          <w:i/>
          <w:iCs/>
          <w:color w:val="000000"/>
          <w:lang w:val="it-IT"/>
        </w:rPr>
        <w:t>* OPG and VAC</w:t>
      </w:r>
    </w:p>
    <w:p w14:paraId="0CD8DD26" w14:textId="2ED5F0BA" w:rsidR="00CB090E" w:rsidRDefault="00CB090E" w:rsidP="008107A5">
      <w:pPr>
        <w:spacing w:line="340" w:lineRule="exact"/>
        <w:ind w:firstLine="0"/>
        <w:rPr>
          <w:color w:val="000000"/>
          <w:vertAlign w:val="subscript"/>
          <w:lang w:val="it-IT"/>
        </w:rPr>
      </w:pPr>
      <w:r>
        <w:rPr>
          <w:color w:val="000000"/>
          <w:lang w:val="it-IT"/>
        </w:rPr>
        <w:tab/>
        <w:t xml:space="preserve">OPG increases arterial stiffness, </w:t>
      </w:r>
      <w:r w:rsidRPr="00CB090E">
        <w:rPr>
          <w:color w:val="000000"/>
          <w:lang w:val="it-IT"/>
        </w:rPr>
        <w:sym w:font="Wingdings" w:char="F0E0"/>
      </w:r>
      <w:r>
        <w:rPr>
          <w:color w:val="000000"/>
          <w:lang w:val="it-IT"/>
        </w:rPr>
        <w:t xml:space="preserve">affecting E </w:t>
      </w:r>
      <w:r>
        <w:rPr>
          <w:color w:val="000000"/>
          <w:vertAlign w:val="subscript"/>
          <w:lang w:val="it-IT"/>
        </w:rPr>
        <w:t>a.</w:t>
      </w:r>
    </w:p>
    <w:p w14:paraId="3EF0E46E" w14:textId="42580F22" w:rsidR="00CB090E" w:rsidRDefault="00CB090E" w:rsidP="008107A5">
      <w:pPr>
        <w:spacing w:line="340" w:lineRule="exact"/>
        <w:ind w:firstLine="0"/>
        <w:rPr>
          <w:color w:val="000000"/>
          <w:lang w:val="it-IT"/>
        </w:rPr>
      </w:pPr>
      <w:r>
        <w:rPr>
          <w:color w:val="000000"/>
          <w:vertAlign w:val="subscript"/>
          <w:lang w:val="it-IT"/>
        </w:rPr>
        <w:tab/>
      </w:r>
      <w:r w:rsidRPr="00CB090E">
        <w:rPr>
          <w:color w:val="000000"/>
          <w:lang w:val="it-IT"/>
        </w:rPr>
        <w:t xml:space="preserve">OPG is associated with left ventricular fibrosis, increasing left ventricular mass index, increasing left ventricular wall stiffness, affecting left ventricular contractility and relaxation, </w:t>
      </w:r>
      <w:r w:rsidRPr="00CB090E">
        <w:rPr>
          <w:color w:val="000000"/>
          <w:lang w:val="it-IT"/>
        </w:rPr>
        <w:sym w:font="Wingdings" w:char="F0E0"/>
      </w:r>
      <w:r>
        <w:rPr>
          <w:color w:val="000000"/>
          <w:lang w:val="it-IT"/>
        </w:rPr>
        <w:t xml:space="preserve">and impacting E </w:t>
      </w:r>
      <w:r>
        <w:rPr>
          <w:color w:val="000000"/>
          <w:vertAlign w:val="subscript"/>
          <w:lang w:val="it-IT"/>
        </w:rPr>
        <w:t xml:space="preserve">&lt;sub&gt;es&lt;/sub&gt; </w:t>
      </w:r>
      <w:r>
        <w:rPr>
          <w:color w:val="000000"/>
          <w:lang w:val="it-IT"/>
        </w:rPr>
        <w:t>.</w:t>
      </w:r>
    </w:p>
    <w:p w14:paraId="28CECCC5" w14:textId="1BD336D5" w:rsidR="00AF0185" w:rsidRDefault="00CB090E" w:rsidP="00CB090E">
      <w:pPr>
        <w:spacing w:line="340" w:lineRule="exact"/>
        <w:ind w:firstLine="0"/>
        <w:rPr>
          <w:lang w:val="da-DK"/>
        </w:rPr>
      </w:pPr>
      <w:r>
        <w:rPr>
          <w:color w:val="000000"/>
          <w:lang w:val="it-IT"/>
        </w:rPr>
        <w:tab/>
        <w:t xml:space="preserve">Thus, </w:t>
      </w:r>
      <w:r w:rsidRPr="00CB090E">
        <w:rPr>
          <w:color w:val="000000"/>
          <w:lang w:val="it-IT"/>
        </w:rPr>
        <w:t xml:space="preserve">high OPG concentrations promote hardening of both arteries and ventricles, altering the Ea/Ees ratio away from the optimal range </w:t>
      </w:r>
      <w:bookmarkEnd w:id="4"/>
      <w:bookmarkEnd w:id="5"/>
      <w:bookmarkEnd w:id="6"/>
      <w:r w:rsidR="00AE0B73">
        <w:rPr>
          <w:color w:val="000000"/>
          <w:lang w:val="it-IT"/>
        </w:rPr>
        <w:t>.</w:t>
      </w:r>
    </w:p>
    <w:p w14:paraId="6B3F03B9" w14:textId="0758D78C" w:rsidR="00CB090E" w:rsidRDefault="00CB090E" w:rsidP="00CB090E">
      <w:pPr>
        <w:spacing w:line="340" w:lineRule="exact"/>
        <w:ind w:firstLine="0"/>
        <w:rPr>
          <w:b/>
          <w:bCs/>
          <w:i/>
          <w:iCs/>
          <w:lang w:val="da-DK"/>
        </w:rPr>
      </w:pPr>
      <w:r>
        <w:rPr>
          <w:b/>
          <w:bCs/>
          <w:i/>
          <w:iCs/>
          <w:lang w:val="da-DK"/>
        </w:rPr>
        <w:t>* MMP-2 and VAC</w:t>
      </w:r>
    </w:p>
    <w:p w14:paraId="394FA94E" w14:textId="7F517F07" w:rsidR="00CB090E" w:rsidRDefault="00CB090E" w:rsidP="00CB090E">
      <w:pPr>
        <w:spacing w:line="340" w:lineRule="exact"/>
        <w:ind w:firstLine="0"/>
        <w:rPr>
          <w:lang w:val="da-DK"/>
        </w:rPr>
      </w:pPr>
      <w:r>
        <w:rPr>
          <w:b/>
          <w:bCs/>
          <w:i/>
          <w:iCs/>
          <w:lang w:val="da-DK"/>
        </w:rPr>
        <w:lastRenderedPageBreak/>
        <w:tab/>
      </w:r>
      <w:r>
        <w:rPr>
          <w:lang w:val="da-DK"/>
        </w:rPr>
        <w:t xml:space="preserve">Increased MMP-2 is associated with left ventricular remodeling, leading to left ventricular dilation, reduced cardiac contractility, and </w:t>
      </w:r>
      <w:r w:rsidRPr="00CB090E">
        <w:rPr>
          <w:lang w:val="da-DK"/>
        </w:rPr>
        <w:sym w:font="Wingdings" w:char="F0E0"/>
      </w:r>
      <w:r>
        <w:rPr>
          <w:lang w:val="da-DK"/>
        </w:rPr>
        <w:t xml:space="preserve">decreased E₂₀ </w:t>
      </w:r>
      <w:r>
        <w:rPr>
          <w:vertAlign w:val="subscript"/>
          <w:lang w:val="da-DK"/>
        </w:rPr>
        <w:t>(equivalence).</w:t>
      </w:r>
    </w:p>
    <w:p w14:paraId="65A0BD2B" w14:textId="068779FC" w:rsidR="00CB090E" w:rsidRDefault="00CB090E" w:rsidP="00CB090E">
      <w:pPr>
        <w:spacing w:line="340" w:lineRule="exact"/>
        <w:ind w:firstLine="0"/>
        <w:rPr>
          <w:lang w:val="da-DK"/>
        </w:rPr>
      </w:pPr>
      <w:r>
        <w:rPr>
          <w:lang w:val="da-DK"/>
        </w:rPr>
        <w:tab/>
        <w:t xml:space="preserve">MMP-2 is involved in vascular remodeling, promotes fibrosis, increases arterial stiffness, and </w:t>
      </w:r>
      <w:r w:rsidRPr="00CB090E">
        <w:rPr>
          <w:lang w:val="da-DK"/>
        </w:rPr>
        <w:sym w:font="Wingdings" w:char="F0E0"/>
      </w:r>
      <w:r>
        <w:rPr>
          <w:lang w:val="da-DK"/>
        </w:rPr>
        <w:t xml:space="preserve">affects E </w:t>
      </w:r>
      <w:r>
        <w:rPr>
          <w:vertAlign w:val="subscript"/>
          <w:lang w:val="da-DK"/>
        </w:rPr>
        <w:t xml:space="preserve">&lt;sub&gt;a&lt;/sub&gt; </w:t>
      </w:r>
      <w:r>
        <w:rPr>
          <w:lang w:val="da-DK"/>
        </w:rPr>
        <w:t>.</w:t>
      </w:r>
    </w:p>
    <w:p w14:paraId="450A9215" w14:textId="2EBF2F07" w:rsidR="0083311A" w:rsidRDefault="0083311A" w:rsidP="00CB090E">
      <w:pPr>
        <w:spacing w:line="340" w:lineRule="exact"/>
        <w:ind w:firstLine="0"/>
        <w:rPr>
          <w:lang w:val="da-DK"/>
        </w:rPr>
      </w:pPr>
      <w:r>
        <w:rPr>
          <w:lang w:val="da-DK"/>
        </w:rPr>
        <w:tab/>
        <w:t xml:space="preserve">Thus, increased plasma MMP-2 will affect </w:t>
      </w:r>
      <w:r w:rsidR="00D42D54">
        <w:rPr>
          <w:lang w:val="da-DK"/>
        </w:rPr>
        <w:t>VAC.</w:t>
      </w:r>
    </w:p>
    <w:p w14:paraId="4D64678B" w14:textId="4BBE0FEA" w:rsidR="0083311A" w:rsidRDefault="0083311A" w:rsidP="00CB090E">
      <w:pPr>
        <w:spacing w:line="340" w:lineRule="exact"/>
        <w:ind w:firstLine="0"/>
        <w:rPr>
          <w:b/>
          <w:bCs/>
          <w:lang w:val="da-DK"/>
        </w:rPr>
      </w:pPr>
      <w:r>
        <w:rPr>
          <w:b/>
          <w:bCs/>
          <w:lang w:val="da-DK"/>
        </w:rPr>
        <w:t>1.3. The relationship between OPG, MMP-2, VAC, GLS and cardiovascular events</w:t>
      </w:r>
    </w:p>
    <w:p w14:paraId="0A03B6B0" w14:textId="77777777" w:rsidR="00AE0B73" w:rsidRDefault="0083311A" w:rsidP="00AE0B73">
      <w:pPr>
        <w:spacing w:line="340" w:lineRule="exact"/>
        <w:ind w:firstLine="0"/>
        <w:rPr>
          <w:spacing w:val="-4"/>
        </w:rPr>
      </w:pPr>
      <w:r>
        <w:rPr>
          <w:b/>
          <w:bCs/>
          <w:lang w:val="da-DK"/>
        </w:rPr>
        <w:tab/>
      </w:r>
      <w:r w:rsidRPr="0083311A">
        <w:rPr>
          <w:lang w:val="da-DK"/>
        </w:rPr>
        <w:t>Roysland et al. (2012): OPG concentration is directly related to 30-day mortality in patients with NSTEMI. Tetsuji Morishita et al. (2015): A value of ∆ MMP – 2 &lt; -158.5 ng/ml has prognostic significance for left ventricular remodeling after 6 months. Alina Ioana Scarlatescu et al. (2024): VAC is an independent predictor of adverse events in young patients with acute ST-elevation myocardial infarction after 12 months. Ahmed Bendary et al. (2018): GLS &gt; 12.65% has independent predictive significance for the occurrence of adverse cardiovascular events.</w:t>
      </w:r>
    </w:p>
    <w:p w14:paraId="568392F5" w14:textId="77777777" w:rsidR="00AE0B73" w:rsidRDefault="00820108" w:rsidP="00AE0B73">
      <w:pPr>
        <w:spacing w:line="340" w:lineRule="exact"/>
        <w:ind w:firstLine="0"/>
        <w:jc w:val="center"/>
        <w:rPr>
          <w:b/>
          <w:bCs/>
          <w:spacing w:val="-4"/>
        </w:rPr>
      </w:pPr>
      <w:r w:rsidRPr="00AE0B73">
        <w:rPr>
          <w:b/>
          <w:bCs/>
          <w:spacing w:val="-4"/>
        </w:rPr>
        <w:t>Chapter 2. RESEARCH SUBJECTS AND METHODS</w:t>
      </w:r>
    </w:p>
    <w:p w14:paraId="4240B485" w14:textId="77777777" w:rsidR="00AE0B73" w:rsidRDefault="00600AEA" w:rsidP="00AE0B73">
      <w:pPr>
        <w:spacing w:line="340" w:lineRule="exact"/>
        <w:ind w:firstLine="0"/>
        <w:rPr>
          <w:lang w:val="es-ES"/>
        </w:rPr>
      </w:pPr>
      <w:r w:rsidRPr="0023747C">
        <w:rPr>
          <w:lang w:val="es-ES"/>
        </w:rPr>
        <w:t>2.1. Research Subjects</w:t>
      </w:r>
    </w:p>
    <w:p w14:paraId="0FB60768" w14:textId="6682C807" w:rsidR="006B0E00" w:rsidRDefault="002757F4" w:rsidP="00AE0B73">
      <w:pPr>
        <w:spacing w:line="340" w:lineRule="exact"/>
        <w:ind w:firstLine="0"/>
        <w:rPr>
          <w:bCs/>
          <w:lang w:val="es-ES"/>
        </w:rPr>
      </w:pPr>
      <w:r>
        <w:rPr>
          <w:bCs/>
          <w:lang w:val="es-ES"/>
        </w:rPr>
        <w:t>- Acute Myocardial Infarction Group: 136</w:t>
      </w:r>
      <w:r w:rsidR="00841DDC" w:rsidRPr="0023747C">
        <w:rPr>
          <w:bCs/>
          <w:lang w:val="vi-VN"/>
        </w:rPr>
        <w:t xml:space="preserve"> </w:t>
      </w:r>
      <w:r>
        <w:rPr>
          <w:bCs/>
          <w:lang w:val="es-ES"/>
        </w:rPr>
        <w:t>The patient underwent successful coronary artery intervention at the Cardiovascular Intervention Department – Military Hospital 103 from February 2021 to April 2023.</w:t>
      </w:r>
    </w:p>
    <w:p w14:paraId="5EE50585" w14:textId="36A1BCA0" w:rsidR="002757F4" w:rsidRPr="0023747C" w:rsidRDefault="002757F4" w:rsidP="002757F4">
      <w:pPr>
        <w:spacing w:line="340" w:lineRule="exact"/>
        <w:ind w:firstLine="284"/>
        <w:rPr>
          <w:bCs/>
          <w:lang w:val="es-ES"/>
        </w:rPr>
      </w:pPr>
      <w:r>
        <w:rPr>
          <w:bCs/>
          <w:lang w:val="es-ES"/>
        </w:rPr>
        <w:t xml:space="preserve">- Control group: 50 patients selected according to age group for myocardial infarction (MI), with no </w:t>
      </w:r>
      <w:r w:rsidR="00C15115">
        <w:rPr>
          <w:bCs/>
          <w:lang w:val="es-ES"/>
        </w:rPr>
        <w:t>pre-existing coronary artery disease at the time of the study.</w:t>
      </w:r>
    </w:p>
    <w:p w14:paraId="1CC1F1B0" w14:textId="77777777" w:rsidR="006B0E00" w:rsidRPr="0023747C" w:rsidRDefault="006B0E00" w:rsidP="00090A89">
      <w:pPr>
        <w:spacing w:line="340" w:lineRule="exact"/>
        <w:ind w:firstLine="0"/>
        <w:rPr>
          <w:b/>
          <w:i/>
          <w:iCs/>
          <w:lang w:val="es-ES"/>
        </w:rPr>
      </w:pPr>
      <w:r w:rsidRPr="0023747C">
        <w:rPr>
          <w:b/>
          <w:i/>
          <w:iCs/>
          <w:lang w:val="es-ES"/>
        </w:rPr>
        <w:t>2.1.1. Selection Criteria</w:t>
      </w:r>
    </w:p>
    <w:p w14:paraId="5761BEE8" w14:textId="5CAA2189" w:rsidR="006B0E00" w:rsidRPr="0023747C" w:rsidRDefault="006B0E00" w:rsidP="007541A6">
      <w:pPr>
        <w:spacing w:line="340" w:lineRule="exact"/>
        <w:ind w:firstLine="284"/>
        <w:rPr>
          <w:bCs/>
          <w:lang w:val="es-ES"/>
        </w:rPr>
      </w:pPr>
      <w:r w:rsidRPr="0023747C">
        <w:rPr>
          <w:bCs/>
          <w:lang w:val="es-ES"/>
        </w:rPr>
        <w:lastRenderedPageBreak/>
        <w:t>- Acute myocardial infarction group: diagnosis according to the 4th Global Definition (2018)</w:t>
      </w:r>
    </w:p>
    <w:p w14:paraId="5BE5BF8B" w14:textId="4292E48F" w:rsidR="006B0E00" w:rsidRPr="0023747C" w:rsidRDefault="006B0E00" w:rsidP="007541A6">
      <w:pPr>
        <w:spacing w:line="340" w:lineRule="exact"/>
        <w:ind w:firstLine="284"/>
        <w:rPr>
          <w:bCs/>
          <w:lang w:val="es-ES"/>
        </w:rPr>
      </w:pPr>
      <w:r w:rsidRPr="0023747C">
        <w:rPr>
          <w:bCs/>
          <w:lang w:val="es-ES"/>
        </w:rPr>
        <w:t>- Control group: Patients with clinical chest pain, coronary MSCT angiography or percutaneous coronary angiography showing stenosis &lt; 50%, or patients without chest pain, no ST segment or T wave changes on ECG, and no regional wall motion abnormalities on echocardiography.</w:t>
      </w:r>
    </w:p>
    <w:p w14:paraId="3E19B032" w14:textId="77777777" w:rsidR="006B0E00" w:rsidRPr="0023747C" w:rsidRDefault="006B0E00" w:rsidP="00090A89">
      <w:pPr>
        <w:spacing w:line="340" w:lineRule="exact"/>
        <w:ind w:firstLine="0"/>
        <w:rPr>
          <w:b/>
          <w:i/>
          <w:iCs/>
          <w:lang w:val="es-ES"/>
        </w:rPr>
      </w:pPr>
      <w:r w:rsidRPr="0023747C">
        <w:rPr>
          <w:b/>
          <w:i/>
          <w:iCs/>
          <w:lang w:val="es-ES"/>
        </w:rPr>
        <w:t>2.1.2. Exclusion criteria</w:t>
      </w:r>
    </w:p>
    <w:p w14:paraId="012BAE10" w14:textId="17D7546B" w:rsidR="006B0E00" w:rsidRPr="0023747C" w:rsidRDefault="002757F4" w:rsidP="007541A6">
      <w:pPr>
        <w:spacing w:line="340" w:lineRule="exact"/>
        <w:ind w:firstLine="284"/>
        <w:rPr>
          <w:bCs/>
          <w:lang w:val="es-ES"/>
        </w:rPr>
      </w:pPr>
      <w:r>
        <w:rPr>
          <w:bCs/>
          <w:lang w:val="es-ES"/>
        </w:rPr>
        <w:t>Moderate to severe valvular heart disease; acute myocarditis; aortic dissection; patients with severe hepatic or renal dysfunction; systemic infections; persistent atrial fibrillation; patients in cardiogenic shock requiring mechanical ventilation or dying while hospitalized; patients undergoing treatment for malignancies.</w:t>
      </w:r>
    </w:p>
    <w:p w14:paraId="03C1518A" w14:textId="77777777" w:rsidR="006B0E00" w:rsidRPr="0023747C" w:rsidRDefault="006B0E00" w:rsidP="00090A89">
      <w:pPr>
        <w:spacing w:line="340" w:lineRule="exact"/>
        <w:ind w:firstLine="0"/>
        <w:rPr>
          <w:b/>
          <w:iCs/>
          <w:lang w:val="es-ES"/>
        </w:rPr>
      </w:pPr>
      <w:r w:rsidRPr="0023747C">
        <w:rPr>
          <w:b/>
          <w:iCs/>
          <w:lang w:val="es-ES"/>
        </w:rPr>
        <w:t>2.2. Research Methodology</w:t>
      </w:r>
    </w:p>
    <w:p w14:paraId="31933BA6" w14:textId="039FE97E" w:rsidR="00090A89" w:rsidRDefault="006B0E00" w:rsidP="00090A89">
      <w:pPr>
        <w:spacing w:line="340" w:lineRule="exact"/>
        <w:ind w:firstLine="0"/>
        <w:rPr>
          <w:b/>
          <w:i/>
          <w:lang w:val="es-ES"/>
        </w:rPr>
      </w:pPr>
      <w:r w:rsidRPr="0023747C">
        <w:rPr>
          <w:b/>
          <w:i/>
          <w:lang w:val="es-ES"/>
        </w:rPr>
        <w:t xml:space="preserve">2.2.1. Study design: </w:t>
      </w:r>
      <w:r w:rsidR="002757F4">
        <w:rPr>
          <w:bCs/>
          <w:iCs/>
          <w:lang w:val="es-ES"/>
        </w:rPr>
        <w:t>Prospective, descriptive, longitudinal, controlled study</w:t>
      </w:r>
    </w:p>
    <w:p w14:paraId="31A4EF41" w14:textId="01CDBC85" w:rsidR="00841DDC" w:rsidRPr="00090A89" w:rsidRDefault="006B0E00" w:rsidP="00090A89">
      <w:pPr>
        <w:spacing w:line="340" w:lineRule="exact"/>
        <w:ind w:firstLine="0"/>
        <w:rPr>
          <w:b/>
          <w:i/>
          <w:lang w:val="es-ES"/>
        </w:rPr>
      </w:pPr>
      <w:r w:rsidRPr="0023747C">
        <w:rPr>
          <w:b/>
          <w:i/>
          <w:iCs/>
          <w:lang w:val="es-ES"/>
        </w:rPr>
        <w:t>2.2.2. Sample Size</w:t>
      </w:r>
    </w:p>
    <w:p w14:paraId="27F40274" w14:textId="0AB2D809" w:rsidR="002757F4" w:rsidRPr="002757F4" w:rsidRDefault="002757F4" w:rsidP="00C15115">
      <w:pPr>
        <w:spacing w:line="340" w:lineRule="exact"/>
        <w:ind w:firstLine="0"/>
        <w:rPr>
          <w:bCs/>
          <w:lang w:val="es-ES"/>
        </w:rPr>
      </w:pPr>
      <w:r w:rsidRPr="002757F4">
        <w:rPr>
          <w:bCs/>
          <w:lang w:val="es-ES"/>
        </w:rPr>
        <w:t>Use the sample size calculation formula for descriptive research.</w:t>
      </w:r>
    </w:p>
    <w:p w14:paraId="3F95EDB8" w14:textId="12963F2E" w:rsidR="002757F4" w:rsidRPr="00C15115" w:rsidRDefault="002757F4" w:rsidP="00C15115">
      <w:pPr>
        <w:spacing w:line="340" w:lineRule="exact"/>
        <w:ind w:firstLine="0"/>
        <w:rPr>
          <w:bCs/>
          <w:vertAlign w:val="superscript"/>
          <w:lang w:val="es-ES"/>
        </w:rPr>
      </w:pPr>
      <w:r w:rsidRPr="002757F4">
        <w:rPr>
          <w:bCs/>
          <w:lang w:val="es-ES"/>
        </w:rPr>
        <w:tab/>
      </w:r>
      <w:r w:rsidRPr="002757F4">
        <w:rPr>
          <w:bCs/>
          <w:lang w:val="es-ES"/>
        </w:rPr>
        <w:tab/>
      </w:r>
      <w:r w:rsidRPr="002757F4">
        <w:rPr>
          <w:bCs/>
          <w:lang w:val="es-ES"/>
        </w:rPr>
        <w:tab/>
      </w:r>
      <w:r w:rsidRPr="002757F4">
        <w:rPr>
          <w:bCs/>
          <w:lang w:val="es-ES"/>
        </w:rPr>
        <w:tab/>
        <w:t xml:space="preserve">     </w:t>
      </w:r>
      <w:r w:rsidR="00C15115">
        <w:rPr>
          <w:bCs/>
          <w:lang w:val="es-ES"/>
        </w:rPr>
        <w:t xml:space="preserve">n = Z </w:t>
      </w:r>
      <w:r w:rsidR="00C15115">
        <w:rPr>
          <w:bCs/>
          <w:vertAlign w:val="superscript"/>
          <w:lang w:val="es-ES"/>
        </w:rPr>
        <w:t xml:space="preserve">2 </w:t>
      </w:r>
      <w:r w:rsidR="00C15115">
        <w:rPr>
          <w:bCs/>
          <w:vertAlign w:val="subscript"/>
          <w:lang w:val="es-ES"/>
        </w:rPr>
        <w:t xml:space="preserve">1-α/2 </w:t>
      </w:r>
      <w:r w:rsidR="00C15115">
        <w:rPr>
          <w:bCs/>
          <w:lang w:val="es-ES"/>
        </w:rPr>
        <w:t xml:space="preserve">.p. (1-p)/d </w:t>
      </w:r>
      <w:r w:rsidR="00C15115">
        <w:rPr>
          <w:bCs/>
          <w:vertAlign w:val="superscript"/>
          <w:lang w:val="es-ES"/>
        </w:rPr>
        <w:t>2</w:t>
      </w:r>
    </w:p>
    <w:p w14:paraId="75CD8E12" w14:textId="77777777" w:rsidR="002757F4" w:rsidRPr="002757F4" w:rsidRDefault="002757F4" w:rsidP="002757F4">
      <w:pPr>
        <w:spacing w:line="340" w:lineRule="exact"/>
        <w:ind w:firstLine="0"/>
        <w:rPr>
          <w:bCs/>
          <w:lang w:val="es-ES"/>
        </w:rPr>
      </w:pPr>
      <w:r w:rsidRPr="002757F4">
        <w:rPr>
          <w:bCs/>
          <w:lang w:val="es-ES"/>
        </w:rPr>
        <w:t>Where: n is the sample size of the study</w:t>
      </w:r>
    </w:p>
    <w:p w14:paraId="69D04DC2" w14:textId="3EC4484A" w:rsidR="002757F4" w:rsidRPr="002757F4" w:rsidRDefault="002757F4" w:rsidP="002757F4">
      <w:pPr>
        <w:spacing w:line="340" w:lineRule="exact"/>
        <w:ind w:firstLine="0"/>
        <w:rPr>
          <w:bCs/>
          <w:lang w:val="es-ES"/>
        </w:rPr>
      </w:pPr>
      <w:r w:rsidRPr="002757F4">
        <w:rPr>
          <w:bCs/>
          <w:lang w:val="es-ES"/>
        </w:rPr>
        <w:tab/>
      </w:r>
      <w:r w:rsidRPr="002757F4">
        <w:rPr>
          <w:bCs/>
          <w:lang w:val="es-ES"/>
        </w:rPr>
        <w:tab/>
      </w:r>
      <w:r w:rsidR="00C15115">
        <w:rPr>
          <w:bCs/>
          <w:lang w:val="es-ES"/>
        </w:rPr>
        <w:t xml:space="preserve">Z </w:t>
      </w:r>
      <w:r w:rsidR="00C15115">
        <w:rPr>
          <w:bCs/>
          <w:vertAlign w:val="superscript"/>
          <w:lang w:val="es-ES"/>
        </w:rPr>
        <w:t xml:space="preserve">2 </w:t>
      </w:r>
      <w:r w:rsidR="00C15115">
        <w:rPr>
          <w:bCs/>
          <w:vertAlign w:val="subscript"/>
          <w:lang w:val="es-ES"/>
        </w:rPr>
        <w:t xml:space="preserve">1-α/2 </w:t>
      </w:r>
      <w:r w:rsidR="00C15115">
        <w:rPr>
          <w:bCs/>
          <w:lang w:val="es-ES"/>
        </w:rPr>
        <w:t xml:space="preserve">is the value from the normal distribution (Z </w:t>
      </w:r>
      <w:r w:rsidRPr="00C15115">
        <w:rPr>
          <w:bCs/>
          <w:vertAlign w:val="subscript"/>
          <w:lang w:val="es-ES"/>
        </w:rPr>
        <w:t xml:space="preserve">0.975 </w:t>
      </w:r>
      <w:r w:rsidRPr="002757F4">
        <w:rPr>
          <w:bCs/>
          <w:lang w:val="es-ES"/>
        </w:rPr>
        <w:t>= 1.96)</w:t>
      </w:r>
    </w:p>
    <w:p w14:paraId="77440A2D" w14:textId="77777777" w:rsidR="002757F4" w:rsidRPr="002757F4" w:rsidRDefault="002757F4" w:rsidP="002757F4">
      <w:pPr>
        <w:spacing w:line="340" w:lineRule="exact"/>
        <w:ind w:firstLine="0"/>
        <w:rPr>
          <w:bCs/>
          <w:lang w:val="es-ES"/>
        </w:rPr>
      </w:pPr>
      <w:r w:rsidRPr="002757F4">
        <w:rPr>
          <w:bCs/>
          <w:lang w:val="es-ES"/>
        </w:rPr>
        <w:tab/>
      </w:r>
      <w:r w:rsidRPr="002757F4">
        <w:rPr>
          <w:bCs/>
          <w:lang w:val="es-ES"/>
        </w:rPr>
        <w:tab/>
        <w:t>α is the probability of a type I error (α = 0.05)</w:t>
      </w:r>
      <w:r w:rsidRPr="002757F4">
        <w:rPr>
          <w:bCs/>
          <w:lang w:val="es-ES"/>
        </w:rPr>
        <w:tab/>
      </w:r>
      <w:r w:rsidRPr="002757F4">
        <w:rPr>
          <w:bCs/>
          <w:lang w:val="es-ES"/>
        </w:rPr>
        <w:tab/>
      </w:r>
    </w:p>
    <w:p w14:paraId="08476679" w14:textId="77777777" w:rsidR="002757F4" w:rsidRPr="002757F4" w:rsidRDefault="002757F4" w:rsidP="002757F4">
      <w:pPr>
        <w:spacing w:line="340" w:lineRule="exact"/>
        <w:ind w:firstLine="0"/>
        <w:rPr>
          <w:bCs/>
          <w:lang w:val="es-ES"/>
        </w:rPr>
      </w:pPr>
      <w:r w:rsidRPr="002757F4">
        <w:rPr>
          <w:bCs/>
          <w:lang w:val="es-ES"/>
        </w:rPr>
        <w:tab/>
      </w:r>
      <w:r w:rsidRPr="002757F4">
        <w:rPr>
          <w:bCs/>
          <w:lang w:val="es-ES"/>
        </w:rPr>
        <w:tab/>
        <w:t>d is the accuracy (or allowable error) (d = 0.05)</w:t>
      </w:r>
    </w:p>
    <w:p w14:paraId="2511A84A" w14:textId="210CDE72" w:rsidR="00C15115" w:rsidRDefault="002757F4" w:rsidP="002757F4">
      <w:pPr>
        <w:spacing w:line="340" w:lineRule="exact"/>
        <w:ind w:firstLine="0"/>
        <w:rPr>
          <w:bCs/>
          <w:lang w:val="es-ES"/>
        </w:rPr>
      </w:pPr>
      <w:r w:rsidRPr="002757F4">
        <w:rPr>
          <w:bCs/>
          <w:lang w:val="es-ES"/>
        </w:rPr>
        <w:tab/>
      </w:r>
      <w:r w:rsidRPr="002757F4">
        <w:rPr>
          <w:bCs/>
          <w:lang w:val="es-ES"/>
        </w:rPr>
        <w:tab/>
        <w:t xml:space="preserve">p is the desired value of the proportion. We take the value p = 0.172. Because based on the research results of Ahmed Bendary et al. (2018) </w:t>
      </w:r>
      <w:r w:rsidR="00C15115" w:rsidRPr="00C15115">
        <w:rPr>
          <w:bCs/>
          <w:lang w:val="es-ES"/>
        </w:rPr>
        <w:t xml:space="preserve">, the rate of MACE events after 30 days of </w:t>
      </w:r>
      <w:r w:rsidR="00C15115" w:rsidRPr="00C15115">
        <w:rPr>
          <w:bCs/>
          <w:lang w:val="es-ES"/>
        </w:rPr>
        <w:lastRenderedPageBreak/>
        <w:t>follow-up in patients with acute myocardial infarction is 17.2%. Substituting into the formula we get n ≥ 111 patients.</w:t>
      </w:r>
    </w:p>
    <w:p w14:paraId="55799ACE" w14:textId="5B0004B1" w:rsidR="006B0E00" w:rsidRPr="0023747C" w:rsidRDefault="006B0E00" w:rsidP="002757F4">
      <w:pPr>
        <w:spacing w:line="340" w:lineRule="exact"/>
        <w:ind w:firstLine="0"/>
        <w:rPr>
          <w:b/>
          <w:i/>
          <w:lang w:val="es-ES"/>
        </w:rPr>
      </w:pPr>
      <w:r w:rsidRPr="0023747C">
        <w:rPr>
          <w:b/>
          <w:i/>
          <w:lang w:val="es-ES"/>
        </w:rPr>
        <w:t xml:space="preserve">2.2.3. </w:t>
      </w:r>
      <w:r w:rsidRPr="0023747C">
        <w:rPr>
          <w:b/>
          <w:i/>
          <w:iCs/>
          <w:lang w:val="es-ES"/>
        </w:rPr>
        <w:t>Research tools</w:t>
      </w:r>
      <w:r w:rsidRPr="0023747C">
        <w:rPr>
          <w:b/>
          <w:i/>
          <w:lang w:val="es-ES"/>
        </w:rPr>
        <w:t xml:space="preserve"> </w:t>
      </w:r>
    </w:p>
    <w:p w14:paraId="60990820" w14:textId="77777777" w:rsidR="00C15115" w:rsidRPr="00C15115" w:rsidRDefault="00C15115" w:rsidP="00A841BF">
      <w:pPr>
        <w:pStyle w:val="abang"/>
        <w:spacing w:line="340" w:lineRule="exact"/>
        <w:jc w:val="both"/>
        <w:rPr>
          <w:b w:val="0"/>
          <w:lang w:val="vi-VN"/>
        </w:rPr>
      </w:pPr>
      <w:bookmarkStart w:id="7" w:name="_Toc187321290"/>
      <w:r w:rsidRPr="00C15115">
        <w:rPr>
          <w:b w:val="0"/>
          <w:lang w:val="vi-VN"/>
        </w:rPr>
        <w:t>- The OPG, MMP-2 ELISA kit is manufactured by R&amp;D Systems, Minneapolis, Minnesota.</w:t>
      </w:r>
    </w:p>
    <w:p w14:paraId="69D98DFC" w14:textId="77777777" w:rsidR="00C15115" w:rsidRPr="00C15115" w:rsidRDefault="00C15115" w:rsidP="00A841BF">
      <w:pPr>
        <w:pStyle w:val="abang"/>
        <w:spacing w:line="340" w:lineRule="exact"/>
        <w:jc w:val="both"/>
        <w:rPr>
          <w:b w:val="0"/>
          <w:lang w:val="vi-VN"/>
        </w:rPr>
      </w:pPr>
      <w:r w:rsidRPr="00C15115">
        <w:rPr>
          <w:b w:val="0"/>
          <w:lang w:val="vi-VN"/>
        </w:rPr>
        <w:t>- GE 2-plane angiography machine: for coronary angiography and intervention.</w:t>
      </w:r>
    </w:p>
    <w:p w14:paraId="5A28FEFF" w14:textId="77777777" w:rsidR="00C15115" w:rsidRPr="00C15115" w:rsidRDefault="00C15115" w:rsidP="00A841BF">
      <w:pPr>
        <w:pStyle w:val="abang"/>
        <w:spacing w:line="340" w:lineRule="exact"/>
        <w:jc w:val="both"/>
        <w:rPr>
          <w:b w:val="0"/>
          <w:lang w:val="vi-VN"/>
        </w:rPr>
      </w:pPr>
      <w:r w:rsidRPr="00C15115">
        <w:rPr>
          <w:b w:val="0"/>
          <w:lang w:val="vi-VN"/>
        </w:rPr>
        <w:t>- Philips EPIQ 7C ultrasound machine with 2.5 – 5 MHz transducer.</w:t>
      </w:r>
    </w:p>
    <w:bookmarkEnd w:id="7"/>
    <w:p w14:paraId="7A18DFBB" w14:textId="6059CA81" w:rsidR="00820108" w:rsidRPr="00A841BF" w:rsidRDefault="00600AEA" w:rsidP="00090A89">
      <w:pPr>
        <w:pStyle w:val="Heading3"/>
        <w:numPr>
          <w:ilvl w:val="0"/>
          <w:numId w:val="0"/>
        </w:numPr>
        <w:ind w:left="720" w:hanging="720"/>
        <w:rPr>
          <w:rFonts w:ascii="Times New Roman" w:hAnsi="Times New Roman"/>
          <w:lang w:val="vi-VN"/>
        </w:rPr>
      </w:pPr>
      <w:r w:rsidRPr="00A841BF">
        <w:rPr>
          <w:rFonts w:ascii="Times New Roman" w:hAnsi="Times New Roman"/>
          <w:lang w:val="vi-VN"/>
        </w:rPr>
        <w:t>2.2.4. Procedure</w:t>
      </w:r>
    </w:p>
    <w:p w14:paraId="3F2EFF57" w14:textId="3F70ABDF" w:rsidR="00A841BF" w:rsidRPr="005523EC" w:rsidRDefault="00A841BF" w:rsidP="00090A89">
      <w:pPr>
        <w:spacing w:line="340" w:lineRule="exact"/>
        <w:ind w:firstLine="0"/>
        <w:rPr>
          <w:bCs/>
          <w:lang w:val="vi-VN"/>
        </w:rPr>
      </w:pPr>
      <w:r w:rsidRPr="00A841BF">
        <w:rPr>
          <w:bCs/>
          <w:lang w:val="vi-VN"/>
        </w:rPr>
        <w:t xml:space="preserve">- Upon admission, patients undergo history taking, clinical examination, complete blood count, blood chemistry, electrocardiogram, and echocardiogram. </w:t>
      </w:r>
      <w:r w:rsidRPr="00A841BF">
        <w:rPr>
          <w:bCs/>
        </w:rPr>
        <w:sym w:font="Wingdings" w:char="F0E0"/>
      </w:r>
      <w:r w:rsidRPr="00A841BF">
        <w:rPr>
          <w:bCs/>
          <w:lang w:val="vi-VN"/>
        </w:rPr>
        <w:t xml:space="preserve">Diagnosis of acute myocardial infarction (AMI) is made. </w:t>
      </w:r>
      <w:r w:rsidRPr="00A841BF">
        <w:rPr>
          <w:bCs/>
        </w:rPr>
        <w:sym w:font="Wingdings" w:char="F0E0"/>
      </w:r>
      <w:r w:rsidRPr="00A841BF">
        <w:rPr>
          <w:bCs/>
          <w:lang w:val="vi-VN"/>
        </w:rPr>
        <w:t xml:space="preserve">Blood samples are taken for OPG and MMP testing (twice). 1. </w:t>
      </w:r>
      <w:r w:rsidRPr="00A841BF">
        <w:rPr>
          <w:bCs/>
        </w:rPr>
        <w:sym w:font="Wingdings" w:char="F0E0"/>
      </w:r>
      <w:r w:rsidRPr="00A841BF">
        <w:rPr>
          <w:bCs/>
          <w:lang w:val="vi-VN"/>
        </w:rPr>
        <w:t>Percutaneous coronary angiography and intervention are performed, and the patient is selected for the study.</w:t>
      </w:r>
    </w:p>
    <w:p w14:paraId="31DF1E7B" w14:textId="7DFFD2DA" w:rsidR="00A841BF" w:rsidRPr="005523EC" w:rsidRDefault="00A841BF" w:rsidP="00090A89">
      <w:pPr>
        <w:spacing w:line="340" w:lineRule="exact"/>
        <w:ind w:firstLine="0"/>
        <w:rPr>
          <w:bCs/>
          <w:lang w:val="vi-VN"/>
        </w:rPr>
      </w:pPr>
      <w:r w:rsidRPr="005523EC">
        <w:rPr>
          <w:bCs/>
          <w:lang w:val="vi-VN"/>
        </w:rPr>
        <w:t>- First echocardiogram (due to VAC, GLS) within the first 24 hours of admission. Standard treatment according to the Ministry of Health's recommendations (2019).</w:t>
      </w:r>
    </w:p>
    <w:p w14:paraId="20BEF2D1" w14:textId="4ED558F1" w:rsidR="00A841BF" w:rsidRPr="005523EC" w:rsidRDefault="00A841BF" w:rsidP="00090A89">
      <w:pPr>
        <w:spacing w:line="340" w:lineRule="exact"/>
        <w:ind w:firstLine="0"/>
        <w:rPr>
          <w:bCs/>
          <w:lang w:val="vi-VN"/>
        </w:rPr>
      </w:pPr>
      <w:r w:rsidRPr="005523EC">
        <w:rPr>
          <w:bCs/>
          <w:lang w:val="vi-VN"/>
        </w:rPr>
        <w:t>- After 7 days: Blood samples for OPG and MMP tests (second time), echocardiogram to measure VAC and GLS (second time).</w:t>
      </w:r>
    </w:p>
    <w:p w14:paraId="52C70172" w14:textId="1962A639" w:rsidR="00A841BF" w:rsidRPr="005523EC" w:rsidRDefault="00A841BF" w:rsidP="00090A89">
      <w:pPr>
        <w:spacing w:line="340" w:lineRule="exact"/>
        <w:ind w:firstLine="0"/>
        <w:rPr>
          <w:bCs/>
          <w:lang w:val="vi-VN"/>
        </w:rPr>
      </w:pPr>
      <w:r w:rsidRPr="005523EC">
        <w:rPr>
          <w:bCs/>
          <w:lang w:val="vi-VN"/>
        </w:rPr>
        <w:t>- Patients are discharged and return for follow-up appointments after 1, 3, 6, 9, and 12 months, including clinical examination, echocardiography, and measurement of VAC and GLS.</w:t>
      </w:r>
    </w:p>
    <w:p w14:paraId="3A4ECF26" w14:textId="6E10527E" w:rsidR="00A841BF" w:rsidRPr="005523EC" w:rsidRDefault="00A841BF" w:rsidP="00090A89">
      <w:pPr>
        <w:spacing w:line="340" w:lineRule="exact"/>
        <w:ind w:firstLine="0"/>
        <w:rPr>
          <w:bCs/>
          <w:lang w:val="vi-VN"/>
        </w:rPr>
      </w:pPr>
      <w:r w:rsidRPr="005523EC">
        <w:rPr>
          <w:bCs/>
          <w:lang w:val="vi-VN"/>
        </w:rPr>
        <w:t>- Patients in the control group had blood samples taken for OPG and MMP-2 testing, and echocardiograms measuring VAC and GLS once during their hospital stay.</w:t>
      </w:r>
    </w:p>
    <w:p w14:paraId="31C42E5D" w14:textId="24C2FC31" w:rsidR="00A841BF" w:rsidRPr="005523EC" w:rsidRDefault="00A841BF" w:rsidP="00090A89">
      <w:pPr>
        <w:spacing w:line="340" w:lineRule="exact"/>
        <w:ind w:firstLine="0"/>
        <w:rPr>
          <w:bCs/>
          <w:lang w:val="vi-VN"/>
        </w:rPr>
      </w:pPr>
      <w:r w:rsidRPr="005523EC">
        <w:rPr>
          <w:bCs/>
          <w:lang w:val="vi-VN"/>
        </w:rPr>
        <w:t>- Data compilation and analysis.</w:t>
      </w:r>
    </w:p>
    <w:p w14:paraId="6256C868" w14:textId="6B553715" w:rsidR="002A076C" w:rsidRPr="0023747C" w:rsidRDefault="00024A22" w:rsidP="00090A89">
      <w:pPr>
        <w:spacing w:line="340" w:lineRule="exact"/>
        <w:ind w:firstLine="0"/>
        <w:rPr>
          <w:b/>
          <w:i/>
          <w:lang w:val="vi-VN"/>
        </w:rPr>
      </w:pPr>
      <w:r w:rsidRPr="0023747C">
        <w:rPr>
          <w:b/>
          <w:i/>
          <w:lang w:val="vi-VN"/>
        </w:rPr>
        <w:lastRenderedPageBreak/>
        <w:t>2.2.5. Research Indicators</w:t>
      </w:r>
    </w:p>
    <w:p w14:paraId="1A75D0F0" w14:textId="77777777" w:rsidR="00A841BF" w:rsidRPr="005523EC" w:rsidRDefault="002A076C" w:rsidP="001E4C30">
      <w:pPr>
        <w:spacing w:line="340" w:lineRule="exact"/>
        <w:ind w:firstLine="284"/>
        <w:rPr>
          <w:bCs/>
          <w:lang w:val="vi-VN"/>
        </w:rPr>
      </w:pPr>
      <w:r w:rsidRPr="006C0107">
        <w:rPr>
          <w:bCs/>
          <w:lang w:val="vi-VN"/>
        </w:rPr>
        <w:t>- Changes in plasma OPG and MMP-2 concentrations during hospitalization.</w:t>
      </w:r>
    </w:p>
    <w:p w14:paraId="705CE2EA" w14:textId="26513B3C" w:rsidR="002A076C" w:rsidRPr="00A841BF" w:rsidRDefault="00A841BF" w:rsidP="001E4C30">
      <w:pPr>
        <w:spacing w:line="340" w:lineRule="exact"/>
        <w:ind w:firstLine="284"/>
        <w:rPr>
          <w:bCs/>
          <w:i/>
          <w:lang w:val="vi-VN"/>
        </w:rPr>
      </w:pPr>
      <w:r w:rsidRPr="005523EC">
        <w:rPr>
          <w:bCs/>
          <w:lang w:val="vi-VN"/>
        </w:rPr>
        <w:t>- Changes in echocardiographic indices (VAC, GLS before and after coronary artery intervention, 12-month follow-up)</w:t>
      </w:r>
    </w:p>
    <w:p w14:paraId="6C794201" w14:textId="1C05EF28" w:rsidR="00823917" w:rsidRDefault="00024A22" w:rsidP="00A841BF">
      <w:pPr>
        <w:spacing w:line="340" w:lineRule="exact"/>
        <w:ind w:firstLine="284"/>
        <w:rPr>
          <w:bCs/>
          <w:lang w:val="cy-GB"/>
        </w:rPr>
      </w:pPr>
      <w:r w:rsidRPr="0023747C">
        <w:rPr>
          <w:bCs/>
          <w:lang w:val="cy-GB"/>
        </w:rPr>
        <w:t xml:space="preserve">- </w:t>
      </w:r>
      <w:r w:rsidR="00A841BF">
        <w:rPr>
          <w:bCs/>
          <w:lang w:val="cy-GB"/>
        </w:rPr>
        <w:t>Assess major cardiovascular events including: Death from all causes, readmission due to heart failure, recurrent myocardial infarction, and stroke.</w:t>
      </w:r>
    </w:p>
    <w:p w14:paraId="6E8F9F28" w14:textId="05097690" w:rsidR="00A841BF" w:rsidRDefault="00A841BF" w:rsidP="00A841BF">
      <w:pPr>
        <w:spacing w:line="340" w:lineRule="exact"/>
        <w:ind w:firstLine="284"/>
        <w:rPr>
          <w:bCs/>
          <w:lang w:val="cy-GB"/>
        </w:rPr>
      </w:pPr>
      <w:r>
        <w:rPr>
          <w:bCs/>
          <w:lang w:val="cy-GB"/>
        </w:rPr>
        <w:t>- To analyze the relationship between plasma OPG and MMP-2 concentrations, left ventricular longitudinal tension, and left ventricular-arterial compatibility with clinical and paraclinical characteristics and cardiovascular events 12 months after coronary artery intervention.</w:t>
      </w:r>
    </w:p>
    <w:p w14:paraId="64F14003" w14:textId="77777777" w:rsidR="00F13930" w:rsidRDefault="00024A22" w:rsidP="00090A89">
      <w:pPr>
        <w:spacing w:line="340" w:lineRule="exact"/>
        <w:ind w:firstLine="0"/>
        <w:rPr>
          <w:bCs/>
          <w:lang w:val="cy-GB" w:bidi="vi-VN"/>
        </w:rPr>
      </w:pPr>
      <w:r w:rsidRPr="0023747C">
        <w:rPr>
          <w:b/>
          <w:lang w:val="vi-VN"/>
        </w:rPr>
        <w:t>2.3. Data analysis and processing:</w:t>
      </w:r>
      <w:r w:rsidRPr="0023747C">
        <w:rPr>
          <w:bCs/>
          <w:lang w:val="vi-VN"/>
        </w:rPr>
        <w:t xml:space="preserve"> </w:t>
      </w:r>
      <w:r w:rsidRPr="0023747C">
        <w:rPr>
          <w:bCs/>
          <w:lang w:val="cy-GB" w:bidi="vi-VN"/>
        </w:rPr>
        <w:t xml:space="preserve">The data were processed using medical statistical methods, employing SPSS 20.0 and </w:t>
      </w:r>
      <w:r w:rsidR="00A841BF">
        <w:rPr>
          <w:bCs/>
          <w:lang w:val="cy-GB"/>
        </w:rPr>
        <w:t xml:space="preserve">Excel </w:t>
      </w:r>
      <w:r w:rsidRPr="0023747C">
        <w:rPr>
          <w:bCs/>
          <w:lang w:val="cy-GB"/>
        </w:rPr>
        <w:t xml:space="preserve">2019 software </w:t>
      </w:r>
      <w:r w:rsidRPr="0023747C">
        <w:rPr>
          <w:bCs/>
          <w:lang w:val="cy-GB" w:bidi="vi-VN"/>
        </w:rPr>
        <w:t>.</w:t>
      </w:r>
    </w:p>
    <w:p w14:paraId="076CB17B" w14:textId="6770942C" w:rsidR="00024A22" w:rsidRPr="0023747C" w:rsidRDefault="00024A22" w:rsidP="00090A89">
      <w:pPr>
        <w:spacing w:line="340" w:lineRule="exact"/>
        <w:ind w:firstLine="0"/>
        <w:rPr>
          <w:b/>
          <w:iCs/>
          <w:lang w:val="vi-VN"/>
        </w:rPr>
      </w:pPr>
      <w:r w:rsidRPr="0023747C">
        <w:rPr>
          <w:b/>
          <w:iCs/>
          <w:lang w:val="vi-VN"/>
        </w:rPr>
        <w:t>2.4. Research Ethics</w:t>
      </w:r>
    </w:p>
    <w:p w14:paraId="6FE1759A" w14:textId="20398B8B" w:rsidR="00024A22" w:rsidRPr="0023747C" w:rsidRDefault="00024A22" w:rsidP="001E4C30">
      <w:pPr>
        <w:spacing w:line="340" w:lineRule="exact"/>
        <w:ind w:firstLine="284"/>
        <w:rPr>
          <w:bCs/>
          <w:lang w:val="vi-VN"/>
        </w:rPr>
      </w:pPr>
      <w:r w:rsidRPr="0023747C">
        <w:rPr>
          <w:bCs/>
          <w:lang w:val="vi-VN"/>
        </w:rPr>
        <w:t xml:space="preserve">The research proposal was approved by the Ethics Committee of the Military Medical Academy, Decision No. </w:t>
      </w:r>
      <w:r w:rsidR="00F13930" w:rsidRPr="00F13930">
        <w:rPr>
          <w:bCs/>
          <w:lang w:val="cy-GB"/>
        </w:rPr>
        <w:t>234/CNCTh-HĐĐĐ dated December 26, 2022.</w:t>
      </w:r>
    </w:p>
    <w:p w14:paraId="1E2510FF" w14:textId="0F09B7B8" w:rsidR="00F13930" w:rsidRPr="005523EC" w:rsidRDefault="00024A22" w:rsidP="00F13930">
      <w:pPr>
        <w:spacing w:line="340" w:lineRule="exact"/>
        <w:ind w:firstLine="284"/>
        <w:rPr>
          <w:noProof/>
          <w:lang w:val="vi-VN"/>
        </w:rPr>
      </w:pPr>
      <w:r w:rsidRPr="0023747C">
        <w:rPr>
          <w:bCs/>
          <w:lang w:val="vi-VN"/>
        </w:rPr>
        <w:t>All patients voluntarily participated in the study, and the procedures were carried out strictly in accordance with the regulations of the Ministry of Health. This study did not use invasive methods, so it did not affect treatment outcomes or the health of patients.</w:t>
      </w:r>
    </w:p>
    <w:p w14:paraId="76B4DA24" w14:textId="77777777" w:rsidR="00F13930" w:rsidRPr="005523EC" w:rsidRDefault="00F13930" w:rsidP="00F13930">
      <w:pPr>
        <w:spacing w:line="340" w:lineRule="exact"/>
        <w:ind w:firstLine="0"/>
        <w:rPr>
          <w:noProof/>
          <w:lang w:val="vi-VN"/>
        </w:rPr>
      </w:pPr>
    </w:p>
    <w:p w14:paraId="2E54E079" w14:textId="77777777" w:rsidR="00F13930" w:rsidRDefault="00F13930" w:rsidP="00F13930">
      <w:pPr>
        <w:spacing w:line="340" w:lineRule="exact"/>
        <w:ind w:firstLine="0"/>
        <w:rPr>
          <w:noProof/>
        </w:rPr>
      </w:pPr>
    </w:p>
    <w:p w14:paraId="644898FD" w14:textId="77777777" w:rsidR="00AE0B73" w:rsidRDefault="00AE0B73" w:rsidP="00F13930">
      <w:pPr>
        <w:spacing w:line="340" w:lineRule="exact"/>
        <w:ind w:firstLine="0"/>
        <w:rPr>
          <w:noProof/>
        </w:rPr>
      </w:pPr>
    </w:p>
    <w:p w14:paraId="483E8750" w14:textId="77777777" w:rsidR="00AE0B73" w:rsidRPr="00AE0B73" w:rsidRDefault="00AE0B73" w:rsidP="00F13930">
      <w:pPr>
        <w:spacing w:line="340" w:lineRule="exact"/>
        <w:ind w:firstLine="0"/>
        <w:rPr>
          <w:noProof/>
        </w:rPr>
      </w:pPr>
    </w:p>
    <w:p w14:paraId="2B95ECFA" w14:textId="77777777" w:rsidR="002A076C" w:rsidRPr="005523EC" w:rsidRDefault="002A076C" w:rsidP="0023747C">
      <w:pPr>
        <w:ind w:firstLine="0"/>
        <w:rPr>
          <w:noProof/>
          <w:lang w:val="vi-VN"/>
        </w:rPr>
      </w:pPr>
    </w:p>
    <w:p w14:paraId="6D7E2B49" w14:textId="4F86ECC0" w:rsidR="00F13930" w:rsidRPr="005523EC" w:rsidRDefault="00F13930" w:rsidP="0023747C">
      <w:pPr>
        <w:ind w:firstLine="0"/>
        <w:rPr>
          <w:b/>
          <w:bCs/>
          <w:noProof/>
          <w:lang w:val="vi-VN"/>
        </w:rPr>
      </w:pPr>
      <w:r w:rsidRPr="005523EC">
        <w:rPr>
          <w:b/>
          <w:bCs/>
          <w:noProof/>
          <w:lang w:val="vi-VN"/>
        </w:rPr>
        <w:lastRenderedPageBreak/>
        <w:t>2.5. Research Design Diagram</w:t>
      </w:r>
    </w:p>
    <w:p w14:paraId="4AED2029" w14:textId="6239B59B" w:rsidR="00F13930" w:rsidRPr="005523EC" w:rsidRDefault="00A431D0" w:rsidP="0023747C">
      <w:pPr>
        <w:ind w:firstLine="0"/>
        <w:rPr>
          <w:b/>
          <w:bCs/>
          <w:lang w:val="vi-VN"/>
        </w:rPr>
      </w:pPr>
      <w:r w:rsidRPr="00F13930">
        <w:rPr>
          <w:rFonts w:ascii="Calibri" w:eastAsia="Times New Roman" w:hAnsi="Calibri"/>
          <w:b/>
          <w:bCs/>
          <w:noProof/>
          <w:shd w:val="clear" w:color="auto" w:fill="auto"/>
        </w:rPr>
        <mc:AlternateContent>
          <mc:Choice Requires="wpg">
            <w:drawing>
              <wp:anchor distT="0" distB="0" distL="114300" distR="114300" simplePos="0" relativeHeight="251675648" behindDoc="0" locked="0" layoutInCell="1" allowOverlap="1" wp14:anchorId="31291699" wp14:editId="55573DEC">
                <wp:simplePos x="0" y="0"/>
                <wp:positionH relativeFrom="margin">
                  <wp:align>left</wp:align>
                </wp:positionH>
                <wp:positionV relativeFrom="paragraph">
                  <wp:posOffset>140682</wp:posOffset>
                </wp:positionV>
                <wp:extent cx="3948439" cy="4599709"/>
                <wp:effectExtent l="0" t="0" r="13970" b="10795"/>
                <wp:wrapNone/>
                <wp:docPr id="1194553830" name="Group 1194553830"/>
                <wp:cNvGraphicFramePr/>
                <a:graphic xmlns:a="http://schemas.openxmlformats.org/drawingml/2006/main">
                  <a:graphicData uri="http://schemas.microsoft.com/office/word/2010/wordprocessingGroup">
                    <wpg:wgp>
                      <wpg:cNvGrpSpPr/>
                      <wpg:grpSpPr>
                        <a:xfrm>
                          <a:off x="0" y="0"/>
                          <a:ext cx="3948439" cy="4599709"/>
                          <a:chOff x="-14831" y="-65488"/>
                          <a:chExt cx="6327412" cy="6545116"/>
                        </a:xfrm>
                      </wpg:grpSpPr>
                      <wps:wsp>
                        <wps:cNvPr id="1933640798" name="Rectangle: Rounded Corners 1933640798"/>
                        <wps:cNvSpPr/>
                        <wps:spPr>
                          <a:xfrm>
                            <a:off x="-3" y="-65488"/>
                            <a:ext cx="3366599" cy="108655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0378C5F" w14:textId="42B6A92C" w:rsidR="00F13930" w:rsidRPr="003B1BE2" w:rsidRDefault="003B1BE2" w:rsidP="00F13930">
                              <w:pPr>
                                <w:spacing w:line="240" w:lineRule="auto"/>
                                <w:ind w:firstLine="0"/>
                                <w:rPr>
                                  <w:sz w:val="16"/>
                                  <w:szCs w:val="16"/>
                                  <w:lang w:val="en-US"/>
                                </w:rPr>
                              </w:pPr>
                              <w:r>
                                <w:rPr>
                                  <w:b/>
                                  <w:bCs/>
                                  <w:sz w:val="16"/>
                                  <w:szCs w:val="16"/>
                                  <w:lang w:val="en-US"/>
                                </w:rPr>
                                <w:t xml:space="preserve">Myocardial infarction group: </w:t>
                              </w:r>
                              <w:r>
                                <w:rPr>
                                  <w:sz w:val="16"/>
                                  <w:szCs w:val="16"/>
                                  <w:lang w:val="en-US"/>
                                </w:rPr>
                                <w:t>Patients underwent chinical and paraclinical examinatión to diagnose acute MI (136 patients)</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45136156" name="Rectangle: Rounded Corners 1245136156"/>
                        <wps:cNvSpPr/>
                        <wps:spPr>
                          <a:xfrm>
                            <a:off x="2438413" y="1551077"/>
                            <a:ext cx="3707783" cy="368787"/>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E10CF96" w14:textId="7D6FD7EB" w:rsidR="00F13930" w:rsidRPr="003B1BE2" w:rsidRDefault="003B1BE2" w:rsidP="003B1BE2">
                              <w:pPr>
                                <w:ind w:firstLine="0"/>
                                <w:jc w:val="center"/>
                                <w:rPr>
                                  <w:sz w:val="16"/>
                                  <w:szCs w:val="16"/>
                                  <w:lang w:val="en-US"/>
                                </w:rPr>
                              </w:pPr>
                              <w:r>
                                <w:rPr>
                                  <w:sz w:val="16"/>
                                  <w:szCs w:val="16"/>
                                  <w:lang w:val="en-US"/>
                                </w:rPr>
                                <w:t>Patients selected for the study</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5571342" name="Rectangle: Rounded Corners 1395571342"/>
                        <wps:cNvSpPr/>
                        <wps:spPr>
                          <a:xfrm>
                            <a:off x="2189317" y="2162218"/>
                            <a:ext cx="4123264" cy="572039"/>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7955A46" w14:textId="71D079E7" w:rsidR="00F13930" w:rsidRPr="003B1BE2" w:rsidRDefault="003B1BE2" w:rsidP="00A431D0">
                              <w:pPr>
                                <w:spacing w:line="240" w:lineRule="auto"/>
                                <w:ind w:firstLine="0"/>
                                <w:rPr>
                                  <w:sz w:val="16"/>
                                  <w:szCs w:val="16"/>
                                  <w:lang w:val="en-US"/>
                                </w:rPr>
                              </w:pPr>
                              <w:r>
                                <w:rPr>
                                  <w:sz w:val="16"/>
                                  <w:szCs w:val="16"/>
                                  <w:lang w:val="en-US"/>
                                </w:rPr>
                                <w:t xml:space="preserve">Measure VAC, GLS by echocardiography within 24 hours of </w:t>
                              </w:r>
                              <w:r w:rsidR="001B5B63">
                                <w:rPr>
                                  <w:sz w:val="16"/>
                                  <w:szCs w:val="16"/>
                                  <w:lang w:val="en-US"/>
                                </w:rPr>
                                <w:t>hospitalization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31098523" name="Rectangle: Rounded Corners 1031098523"/>
                        <wps:cNvSpPr/>
                        <wps:spPr>
                          <a:xfrm>
                            <a:off x="3727142" y="-45777"/>
                            <a:ext cx="2462750" cy="659959"/>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7B4E946" w14:textId="509DCB82" w:rsidR="00F13930" w:rsidRPr="003B1BE2" w:rsidRDefault="003B1BE2" w:rsidP="00F13930">
                              <w:pPr>
                                <w:ind w:firstLine="0"/>
                                <w:rPr>
                                  <w:sz w:val="16"/>
                                  <w:szCs w:val="16"/>
                                  <w:lang w:val="en-US"/>
                                </w:rPr>
                              </w:pPr>
                              <w:r>
                                <w:rPr>
                                  <w:sz w:val="16"/>
                                  <w:szCs w:val="16"/>
                                  <w:lang w:val="en-US"/>
                                </w:rPr>
                                <w:t>First plasma OPG and MMP – 2 level test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26058" name="Rectangle: Rounded Corners 5426058"/>
                        <wps:cNvSpPr/>
                        <wps:spPr>
                          <a:xfrm>
                            <a:off x="2226845" y="2960641"/>
                            <a:ext cx="3904579" cy="67643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26604F6" w14:textId="56FE76F0" w:rsidR="00F13930" w:rsidRPr="001B5B63" w:rsidRDefault="001B5B63" w:rsidP="00A431D0">
                              <w:pPr>
                                <w:spacing w:line="240" w:lineRule="auto"/>
                                <w:ind w:firstLine="0"/>
                                <w:rPr>
                                  <w:sz w:val="16"/>
                                  <w:szCs w:val="16"/>
                                  <w:lang w:val="en-US"/>
                                </w:rPr>
                              </w:pPr>
                              <w:r w:rsidRPr="001B5B63">
                                <w:rPr>
                                  <w:sz w:val="16"/>
                                  <w:szCs w:val="16"/>
                                  <w:lang w:val="en-US"/>
                                </w:rPr>
                                <w:t>Clinical exam, Plasma OPG, MMP – 2, VAC, GLS were meas</w:t>
                              </w:r>
                              <w:r>
                                <w:rPr>
                                  <w:sz w:val="16"/>
                                  <w:szCs w:val="16"/>
                                  <w:lang w:val="en-US"/>
                                </w:rPr>
                                <w:t>ure again on day 7 after PCI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88364971" name="Rectangle: Rounded Corners 1788364971"/>
                        <wps:cNvSpPr/>
                        <wps:spPr>
                          <a:xfrm>
                            <a:off x="2245230" y="3865764"/>
                            <a:ext cx="3876557" cy="76554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ED925BD" w14:textId="68FD9369" w:rsidR="00F13930" w:rsidRPr="001B5B63" w:rsidRDefault="001B5B63" w:rsidP="00A431D0">
                              <w:pPr>
                                <w:spacing w:line="240" w:lineRule="auto"/>
                                <w:ind w:firstLine="0"/>
                                <w:rPr>
                                  <w:sz w:val="16"/>
                                  <w:szCs w:val="16"/>
                                  <w:lang w:val="en-US"/>
                                </w:rPr>
                              </w:pPr>
                              <w:r>
                                <w:rPr>
                                  <w:sz w:val="16"/>
                                  <w:szCs w:val="16"/>
                                  <w:lang w:val="en-US"/>
                                </w:rPr>
                                <w:t>Patients were monitored clinically, echocardiography measuring VAC, GLS and cardiovascular events 12 months after PCI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15320906" name="Rectangle: Rounded Corners 1215320906"/>
                        <wps:cNvSpPr/>
                        <wps:spPr>
                          <a:xfrm>
                            <a:off x="-14831" y="5263490"/>
                            <a:ext cx="2609178" cy="1216138"/>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B898B5D" w14:textId="6A76A978" w:rsidR="00F13930" w:rsidRPr="00A431D0" w:rsidRDefault="001B5B63" w:rsidP="00A431D0">
                              <w:pPr>
                                <w:ind w:firstLine="0"/>
                                <w:jc w:val="center"/>
                                <w:rPr>
                                  <w:b/>
                                  <w:bCs/>
                                  <w:sz w:val="16"/>
                                  <w:szCs w:val="16"/>
                                </w:rPr>
                              </w:pPr>
                              <w:r>
                                <w:rPr>
                                  <w:b/>
                                  <w:bCs/>
                                  <w:sz w:val="16"/>
                                  <w:szCs w:val="16"/>
                                </w:rPr>
                                <w:t>Objective</w:t>
                              </w:r>
                              <w:r w:rsidR="00F13930" w:rsidRPr="00A431D0">
                                <w:rPr>
                                  <w:b/>
                                  <w:bCs/>
                                  <w:sz w:val="16"/>
                                  <w:szCs w:val="16"/>
                                </w:rPr>
                                <w:t xml:space="preserve"> 1</w:t>
                              </w:r>
                            </w:p>
                            <w:p w14:paraId="12189CD6" w14:textId="77777777" w:rsidR="00F13930" w:rsidRPr="00A431D0" w:rsidRDefault="00F13930" w:rsidP="00F13930">
                              <w:pPr>
                                <w:jc w:val="center"/>
                                <w:rPr>
                                  <w:b/>
                                  <w:bCs/>
                                  <w:sz w:val="16"/>
                                  <w:szCs w:val="1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5650733" name="Rectangle: Rounded Corners 465650733"/>
                        <wps:cNvSpPr/>
                        <wps:spPr>
                          <a:xfrm>
                            <a:off x="2688683" y="5269097"/>
                            <a:ext cx="3346970" cy="121039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5457E08" w14:textId="1A090312" w:rsidR="00F13930" w:rsidRPr="00A431D0" w:rsidRDefault="001B5B63" w:rsidP="00A431D0">
                              <w:pPr>
                                <w:ind w:firstLine="0"/>
                                <w:jc w:val="center"/>
                                <w:rPr>
                                  <w:b/>
                                  <w:bCs/>
                                  <w:sz w:val="16"/>
                                  <w:szCs w:val="16"/>
                                </w:rPr>
                              </w:pPr>
                              <w:r>
                                <w:rPr>
                                  <w:b/>
                                  <w:bCs/>
                                  <w:sz w:val="16"/>
                                  <w:szCs w:val="16"/>
                                </w:rPr>
                                <w:t>Objective</w:t>
                              </w:r>
                              <w:r w:rsidRPr="00A431D0">
                                <w:rPr>
                                  <w:b/>
                                  <w:bCs/>
                                  <w:sz w:val="16"/>
                                  <w:szCs w:val="16"/>
                                </w:rPr>
                                <w:t xml:space="preserve"> </w:t>
                              </w:r>
                              <w:r w:rsidR="00F13930" w:rsidRPr="00A431D0">
                                <w:rPr>
                                  <w:b/>
                                  <w:bCs/>
                                  <w:sz w:val="16"/>
                                  <w:szCs w:val="16"/>
                                </w:rPr>
                                <w:t>2</w:t>
                              </w:r>
                            </w:p>
                            <w:p w14:paraId="47C18525" w14:textId="77777777" w:rsidR="00F13930" w:rsidRPr="00A431D0" w:rsidRDefault="00F13930" w:rsidP="00F13930">
                              <w:pPr>
                                <w:jc w:val="center"/>
                                <w:rPr>
                                  <w:b/>
                                  <w:bCs/>
                                  <w:sz w:val="16"/>
                                  <w:szCs w:val="1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3769687" name="Rectangle: Rounded Corners 153769687"/>
                        <wps:cNvSpPr/>
                        <wps:spPr>
                          <a:xfrm>
                            <a:off x="-5" y="1164899"/>
                            <a:ext cx="2149871" cy="583319"/>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F032184" w14:textId="6AA7F77C" w:rsidR="00F13930" w:rsidRPr="00A431D0" w:rsidRDefault="003B1BE2" w:rsidP="00A431D0">
                              <w:pPr>
                                <w:spacing w:line="240" w:lineRule="auto"/>
                                <w:ind w:firstLine="0"/>
                                <w:rPr>
                                  <w:sz w:val="16"/>
                                  <w:szCs w:val="16"/>
                                </w:rPr>
                              </w:pPr>
                              <w:r>
                                <w:rPr>
                                  <w:b/>
                                  <w:bCs/>
                                  <w:sz w:val="16"/>
                                  <w:szCs w:val="16"/>
                                </w:rPr>
                                <w:t>Control group</w:t>
                              </w:r>
                              <w:r w:rsidR="00A431D0" w:rsidRPr="00A431D0">
                                <w:rPr>
                                  <w:b/>
                                  <w:bCs/>
                                  <w:sz w:val="16"/>
                                  <w:szCs w:val="16"/>
                                </w:rPr>
                                <w:t xml:space="preserve">: </w:t>
                              </w:r>
                              <w:r w:rsidR="00F13930" w:rsidRPr="00A431D0">
                                <w:rPr>
                                  <w:sz w:val="16"/>
                                  <w:szCs w:val="16"/>
                                </w:rPr>
                                <w:t xml:space="preserve">50 </w:t>
                              </w:r>
                              <w:r>
                                <w:rPr>
                                  <w:sz w:val="16"/>
                                  <w:szCs w:val="16"/>
                                </w:rPr>
                                <w:t>patients</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9846713" name="Rectangle: Rounded Corners 809846713"/>
                        <wps:cNvSpPr/>
                        <wps:spPr>
                          <a:xfrm>
                            <a:off x="0" y="2083361"/>
                            <a:ext cx="2061060" cy="104937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62996D9" w14:textId="0B85946C" w:rsidR="00F13930" w:rsidRPr="00A431D0" w:rsidRDefault="003B1BE2" w:rsidP="00A431D0">
                              <w:pPr>
                                <w:ind w:firstLine="0"/>
                                <w:rPr>
                                  <w:sz w:val="16"/>
                                  <w:szCs w:val="16"/>
                                </w:rPr>
                              </w:pPr>
                              <w:r>
                                <w:rPr>
                                  <w:sz w:val="16"/>
                                  <w:szCs w:val="16"/>
                                </w:rPr>
                                <w:t>Clinical, paraclinical, coronary angiography or coronary CT angiogram</w:t>
                              </w:r>
                              <w:r w:rsidR="00F13930" w:rsidRPr="00A431D0">
                                <w:rPr>
                                  <w:sz w:val="16"/>
                                  <w:szCs w:val="16"/>
                                </w:rPr>
                                <w:t xml:space="preserve"> (&lt;50%)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38906865" name="Rectangle: Rounded Corners 1938906865"/>
                        <wps:cNvSpPr/>
                        <wps:spPr>
                          <a:xfrm>
                            <a:off x="0" y="3427011"/>
                            <a:ext cx="2061034" cy="1288196"/>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48CF121" w14:textId="21F0F458" w:rsidR="00F13930" w:rsidRPr="003B1BE2" w:rsidRDefault="00F13930" w:rsidP="003B1BE2">
                              <w:pPr>
                                <w:spacing w:line="240" w:lineRule="auto"/>
                                <w:ind w:firstLine="0"/>
                                <w:jc w:val="left"/>
                                <w:rPr>
                                  <w:sz w:val="16"/>
                                  <w:szCs w:val="16"/>
                                  <w:lang w:val="en-US"/>
                                </w:rPr>
                              </w:pPr>
                              <w:r w:rsidRPr="003B1BE2">
                                <w:rPr>
                                  <w:sz w:val="16"/>
                                  <w:szCs w:val="16"/>
                                  <w:lang w:val="en-US"/>
                                </w:rPr>
                                <w:t>-</w:t>
                              </w:r>
                              <w:r w:rsidR="003B1BE2">
                                <w:rPr>
                                  <w:sz w:val="16"/>
                                  <w:szCs w:val="16"/>
                                  <w:lang w:val="en-US"/>
                                </w:rPr>
                                <w:t xml:space="preserve"> </w:t>
                              </w:r>
                              <w:r w:rsidR="003B1BE2" w:rsidRPr="003B1BE2">
                                <w:rPr>
                                  <w:sz w:val="16"/>
                                  <w:szCs w:val="16"/>
                                  <w:lang w:val="en-US"/>
                                </w:rPr>
                                <w:t xml:space="preserve">Quantitative determination of </w:t>
                              </w:r>
                              <w:r w:rsidR="003B1BE2">
                                <w:rPr>
                                  <w:sz w:val="16"/>
                                  <w:szCs w:val="16"/>
                                  <w:lang w:val="en-US"/>
                                </w:rPr>
                                <w:t>plasma OPG, MMP – 2 concentration</w:t>
                              </w:r>
                            </w:p>
                            <w:p w14:paraId="7E0B40D9" w14:textId="5FAA15A2" w:rsidR="00F13930" w:rsidRPr="003B1BE2" w:rsidRDefault="00F13930" w:rsidP="00A431D0">
                              <w:pPr>
                                <w:spacing w:line="240" w:lineRule="auto"/>
                                <w:ind w:firstLine="0"/>
                                <w:rPr>
                                  <w:sz w:val="16"/>
                                  <w:szCs w:val="16"/>
                                  <w:lang w:val="en-US"/>
                                </w:rPr>
                              </w:pPr>
                              <w:r w:rsidRPr="003B1BE2">
                                <w:rPr>
                                  <w:sz w:val="16"/>
                                  <w:szCs w:val="16"/>
                                  <w:lang w:val="en-US"/>
                                </w:rPr>
                                <w:t xml:space="preserve">- </w:t>
                              </w:r>
                              <w:r w:rsidR="003B1BE2">
                                <w:rPr>
                                  <w:sz w:val="16"/>
                                  <w:szCs w:val="16"/>
                                  <w:lang w:val="en-US"/>
                                </w:rPr>
                                <w:t>Measure VAC, GLS by echocardyography</w:t>
                              </w:r>
                            </w:p>
                            <w:p w14:paraId="10C3B813" w14:textId="77777777" w:rsidR="00F13930" w:rsidRPr="003B1BE2" w:rsidRDefault="00F13930" w:rsidP="00A431D0">
                              <w:pPr>
                                <w:ind w:firstLine="0"/>
                                <w:rPr>
                                  <w:sz w:val="16"/>
                                  <w:szCs w:val="16"/>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21387636" name="Straight Arrow Connector 2021387636"/>
                        <wps:cNvCnPr/>
                        <wps:spPr>
                          <a:xfrm>
                            <a:off x="3366845" y="291011"/>
                            <a:ext cx="370314" cy="0"/>
                          </a:xfrm>
                          <a:prstGeom prst="straightConnector1">
                            <a:avLst/>
                          </a:prstGeom>
                          <a:noFill/>
                          <a:ln w="19050" cap="flat" cmpd="sng" algn="ctr">
                            <a:solidFill>
                              <a:sysClr val="windowText" lastClr="000000"/>
                            </a:solidFill>
                            <a:prstDash val="solid"/>
                            <a:miter lim="800000"/>
                            <a:tailEnd type="triangle"/>
                          </a:ln>
                          <a:effectLst/>
                        </wps:spPr>
                        <wps:bodyPr/>
                      </wps:wsp>
                      <wps:wsp>
                        <wps:cNvPr id="980784144" name="Straight Arrow Connector 980784144"/>
                        <wps:cNvCnPr/>
                        <wps:spPr>
                          <a:xfrm>
                            <a:off x="866682" y="1738370"/>
                            <a:ext cx="0" cy="283087"/>
                          </a:xfrm>
                          <a:prstGeom prst="straightConnector1">
                            <a:avLst/>
                          </a:prstGeom>
                          <a:noFill/>
                          <a:ln w="19050" cap="flat" cmpd="sng" algn="ctr">
                            <a:solidFill>
                              <a:sysClr val="windowText" lastClr="000000"/>
                            </a:solidFill>
                            <a:prstDash val="solid"/>
                            <a:miter lim="800000"/>
                            <a:tailEnd type="triangle"/>
                          </a:ln>
                          <a:effectLst/>
                        </wps:spPr>
                        <wps:bodyPr/>
                      </wps:wsp>
                      <wps:wsp>
                        <wps:cNvPr id="1835400334" name="Straight Arrow Connector 1835400334"/>
                        <wps:cNvCnPr/>
                        <wps:spPr>
                          <a:xfrm>
                            <a:off x="842839" y="3116911"/>
                            <a:ext cx="0" cy="333982"/>
                          </a:xfrm>
                          <a:prstGeom prst="straightConnector1">
                            <a:avLst/>
                          </a:prstGeom>
                          <a:noFill/>
                          <a:ln w="19050" cap="flat" cmpd="sng" algn="ctr">
                            <a:solidFill>
                              <a:sysClr val="windowText" lastClr="000000"/>
                            </a:solidFill>
                            <a:prstDash val="solid"/>
                            <a:miter lim="800000"/>
                            <a:tailEnd type="triangle"/>
                          </a:ln>
                          <a:effectLst/>
                        </wps:spPr>
                        <wps:bodyPr/>
                      </wps:wsp>
                      <wps:wsp>
                        <wps:cNvPr id="746149715" name="Straight Connector 746149715"/>
                        <wps:cNvCnPr/>
                        <wps:spPr>
                          <a:xfrm flipV="1">
                            <a:off x="842839" y="4858247"/>
                            <a:ext cx="3498574" cy="23274"/>
                          </a:xfrm>
                          <a:prstGeom prst="line">
                            <a:avLst/>
                          </a:prstGeom>
                          <a:noFill/>
                          <a:ln w="19050" cap="flat" cmpd="sng" algn="ctr">
                            <a:solidFill>
                              <a:sysClr val="windowText" lastClr="000000"/>
                            </a:solidFill>
                            <a:prstDash val="solid"/>
                            <a:miter lim="800000"/>
                          </a:ln>
                          <a:effectLst/>
                        </wps:spPr>
                        <wps:bodyPr/>
                      </wps:wsp>
                      <wps:wsp>
                        <wps:cNvPr id="108500433" name="Straight Arrow Connector 108500433"/>
                        <wps:cNvCnPr/>
                        <wps:spPr>
                          <a:xfrm flipH="1">
                            <a:off x="993913" y="4858247"/>
                            <a:ext cx="1637969" cy="397566"/>
                          </a:xfrm>
                          <a:prstGeom prst="straightConnector1">
                            <a:avLst/>
                          </a:prstGeom>
                          <a:noFill/>
                          <a:ln w="19050" cap="flat" cmpd="sng" algn="ctr">
                            <a:solidFill>
                              <a:sysClr val="windowText" lastClr="000000"/>
                            </a:solidFill>
                            <a:prstDash val="solid"/>
                            <a:miter lim="800000"/>
                            <a:tailEnd type="triangle"/>
                          </a:ln>
                          <a:effectLst/>
                        </wps:spPr>
                        <wps:bodyPr/>
                      </wps:wsp>
                      <wps:wsp>
                        <wps:cNvPr id="296182712" name="Straight Arrow Connector 296182712"/>
                        <wps:cNvCnPr/>
                        <wps:spPr>
                          <a:xfrm>
                            <a:off x="2631882" y="4882100"/>
                            <a:ext cx="1709531" cy="373380"/>
                          </a:xfrm>
                          <a:prstGeom prst="straightConnector1">
                            <a:avLst/>
                          </a:prstGeom>
                          <a:noFill/>
                          <a:ln w="19050" cap="flat" cmpd="sng" algn="ctr">
                            <a:solidFill>
                              <a:sysClr val="windowText" lastClr="000000"/>
                            </a:solidFill>
                            <a:prstDash val="solid"/>
                            <a:miter lim="800000"/>
                            <a:tailEnd type="triangle"/>
                          </a:ln>
                          <a:effectLst/>
                        </wps:spPr>
                        <wps:bodyPr/>
                      </wps:wsp>
                      <wps:wsp>
                        <wps:cNvPr id="1058958129" name="Straight Arrow Connector 1058958129"/>
                        <wps:cNvCnPr/>
                        <wps:spPr>
                          <a:xfrm>
                            <a:off x="4942429" y="632993"/>
                            <a:ext cx="0" cy="262393"/>
                          </a:xfrm>
                          <a:prstGeom prst="straightConnector1">
                            <a:avLst/>
                          </a:prstGeom>
                          <a:noFill/>
                          <a:ln w="19050" cap="flat" cmpd="sng" algn="ctr">
                            <a:solidFill>
                              <a:sysClr val="windowText" lastClr="000000"/>
                            </a:solidFill>
                            <a:prstDash val="solid"/>
                            <a:miter lim="800000"/>
                            <a:tailEnd type="triangle"/>
                          </a:ln>
                          <a:effectLst/>
                        </wps:spPr>
                        <wps:bodyPr/>
                      </wps:wsp>
                      <wps:wsp>
                        <wps:cNvPr id="2064860664" name="Straight Arrow Connector 2064860664"/>
                        <wps:cNvCnPr>
                          <a:stCxn id="1245136156" idx="2"/>
                        </wps:cNvCnPr>
                        <wps:spPr>
                          <a:xfrm>
                            <a:off x="4292289" y="1919864"/>
                            <a:ext cx="6134" cy="265669"/>
                          </a:xfrm>
                          <a:prstGeom prst="straightConnector1">
                            <a:avLst/>
                          </a:prstGeom>
                          <a:noFill/>
                          <a:ln w="19050" cap="flat" cmpd="sng" algn="ctr">
                            <a:solidFill>
                              <a:sysClr val="windowText" lastClr="000000"/>
                            </a:solidFill>
                            <a:prstDash val="solid"/>
                            <a:miter lim="800000"/>
                            <a:tailEnd type="triangle"/>
                          </a:ln>
                          <a:effectLst/>
                        </wps:spPr>
                        <wps:bodyPr/>
                      </wps:wsp>
                      <wps:wsp>
                        <wps:cNvPr id="717114942" name="Straight Arrow Connector 717114942"/>
                        <wps:cNvCnPr/>
                        <wps:spPr>
                          <a:xfrm>
                            <a:off x="4319211" y="2734257"/>
                            <a:ext cx="0" cy="206733"/>
                          </a:xfrm>
                          <a:prstGeom prst="straightConnector1">
                            <a:avLst/>
                          </a:prstGeom>
                          <a:noFill/>
                          <a:ln w="19050" cap="flat" cmpd="sng" algn="ctr">
                            <a:solidFill>
                              <a:sysClr val="windowText" lastClr="000000"/>
                            </a:solidFill>
                            <a:prstDash val="solid"/>
                            <a:miter lim="800000"/>
                            <a:tailEnd type="triangle"/>
                          </a:ln>
                          <a:effectLst/>
                        </wps:spPr>
                        <wps:bodyPr/>
                      </wps:wsp>
                      <wps:wsp>
                        <wps:cNvPr id="301147779" name="Straight Arrow Connector 301147779"/>
                        <wps:cNvCnPr/>
                        <wps:spPr>
                          <a:xfrm>
                            <a:off x="4341413" y="3619404"/>
                            <a:ext cx="0" cy="246490"/>
                          </a:xfrm>
                          <a:prstGeom prst="straightConnector1">
                            <a:avLst/>
                          </a:prstGeom>
                          <a:noFill/>
                          <a:ln w="19050" cap="flat" cmpd="sng" algn="ctr">
                            <a:solidFill>
                              <a:sysClr val="windowText" lastClr="000000"/>
                            </a:solidFill>
                            <a:prstDash val="solid"/>
                            <a:miter lim="800000"/>
                            <a:tailEnd type="triangle"/>
                          </a:ln>
                          <a:effectLst/>
                        </wps:spPr>
                        <wps:bodyPr/>
                      </wps:wsp>
                      <wps:wsp>
                        <wps:cNvPr id="643067466" name="Straight Connector 643067466"/>
                        <wps:cNvCnPr/>
                        <wps:spPr>
                          <a:xfrm>
                            <a:off x="850790" y="4675367"/>
                            <a:ext cx="0" cy="191080"/>
                          </a:xfrm>
                          <a:prstGeom prst="line">
                            <a:avLst/>
                          </a:prstGeom>
                          <a:noFill/>
                          <a:ln w="19050" cap="flat" cmpd="sng" algn="ctr">
                            <a:solidFill>
                              <a:sysClr val="windowText" lastClr="000000"/>
                            </a:solidFill>
                            <a:prstDash val="solid"/>
                            <a:miter lim="800000"/>
                          </a:ln>
                          <a:effectLst/>
                        </wps:spPr>
                        <wps:bodyPr/>
                      </wps:wsp>
                      <wps:wsp>
                        <wps:cNvPr id="667243710" name="Straight Connector 667243710"/>
                        <wps:cNvCnPr/>
                        <wps:spPr>
                          <a:xfrm>
                            <a:off x="4341413" y="4659464"/>
                            <a:ext cx="0" cy="191080"/>
                          </a:xfrm>
                          <a:prstGeom prst="line">
                            <a:avLst/>
                          </a:prstGeom>
                          <a:noFill/>
                          <a:ln w="190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1291699" id="Group 1194553830" o:spid="_x0000_s1026" style="position:absolute;left:0;text-align:left;margin-left:0;margin-top:11.1pt;width:310.9pt;height:362.2pt;z-index:251675648;mso-position-horizontal:left;mso-position-horizontal-relative:margin;mso-width-relative:margin;mso-height-relative:margin" coordorigin="-148,-654" coordsize="63274,65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">
                <v:roundrect id="Rectangle: Rounded Corners 1933640798" o:spid="_x0000_s1027" style="position:absolute;top:-654;width:33665;height:108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" fillcolor="window" strokecolor="windowText" strokeweight="1pt">
                  <v:stroke joinstyle="miter"/>
                  <v:textbox>
                    <w:txbxContent>
                      <w:p w14:paraId="20378C5F" w14:textId="42B6A92C" w:rsidR="00F13930" w:rsidRPr="003B1BE2" w:rsidRDefault="003B1BE2" w:rsidP="00F13930">
                        <w:pPr>
                          <w:spacing w:line="240" w:lineRule="auto"/>
                          <w:ind w:firstLine="0"/>
                          <w:rPr>
                            <w:sz w:val="16"/>
                            <w:szCs w:val="16"/>
                            <w:lang w:val="en-US"/>
                          </w:rPr>
                        </w:pPr>
                        <w:r>
                          <w:rPr>
                            <w:b/>
                            <w:bCs/>
                            <w:sz w:val="16"/>
                            <w:szCs w:val="16"/>
                            <w:lang w:val="en-US"/>
                          </w:rPr>
                          <w:t xml:space="preserve">Myocardial infarction group: </w:t>
                        </w:r>
                        <w:r>
                          <w:rPr>
                            <w:sz w:val="16"/>
                            <w:szCs w:val="16"/>
                            <w:lang w:val="en-US"/>
                          </w:rPr>
                          <w:t>Patients underwent chinical and paraclinical examinatión to diagnose acute MI (136 patients)</w:t>
                        </w:r>
                      </w:p>
                    </w:txbxContent>
                  </v:textbox>
                </v:roundrect>
                <v:roundrect id="Rectangle: Rounded Corners 1245136156" o:spid="_x0000_s1028" style="position:absolute;left:24384;top:15510;width:37077;height:36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" fillcolor="window" strokecolor="windowText" strokeweight="1pt">
                  <v:stroke joinstyle="miter"/>
                  <v:textbox>
                    <w:txbxContent>
                      <w:p w14:paraId="0E10CF96" w14:textId="7D6FD7EB" w:rsidR="00F13930" w:rsidRPr="003B1BE2" w:rsidRDefault="003B1BE2" w:rsidP="003B1BE2">
                        <w:pPr>
                          <w:ind w:firstLine="0"/>
                          <w:jc w:val="center"/>
                          <w:rPr>
                            <w:sz w:val="16"/>
                            <w:szCs w:val="16"/>
                            <w:lang w:val="en-US"/>
                          </w:rPr>
                        </w:pPr>
                        <w:r>
                          <w:rPr>
                            <w:sz w:val="16"/>
                            <w:szCs w:val="16"/>
                            <w:lang w:val="en-US"/>
                          </w:rPr>
                          <w:t>Patients selected for the study</w:t>
                        </w:r>
                      </w:p>
                    </w:txbxContent>
                  </v:textbox>
                </v:roundrect>
                <v:roundrect id="Rectangle: Rounded Corners 1395571342" o:spid="_x0000_s1029" style="position:absolute;left:21893;top:21622;width:41232;height:5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" fillcolor="window" strokecolor="windowText" strokeweight="1pt">
                  <v:stroke joinstyle="miter"/>
                  <v:textbox>
                    <w:txbxContent>
                      <w:p w14:paraId="17955A46" w14:textId="71D079E7" w:rsidR="00F13930" w:rsidRPr="003B1BE2" w:rsidRDefault="003B1BE2" w:rsidP="00A431D0">
                        <w:pPr>
                          <w:spacing w:line="240" w:lineRule="auto"/>
                          <w:ind w:firstLine="0"/>
                          <w:rPr>
                            <w:sz w:val="16"/>
                            <w:szCs w:val="16"/>
                            <w:lang w:val="en-US"/>
                          </w:rPr>
                        </w:pPr>
                        <w:r>
                          <w:rPr>
                            <w:sz w:val="16"/>
                            <w:szCs w:val="16"/>
                            <w:lang w:val="en-US"/>
                          </w:rPr>
                          <w:t xml:space="preserve">Measure VAC, GLS by echocardiography within 24 hours of </w:t>
                        </w:r>
                        <w:r w:rsidR="001B5B63">
                          <w:rPr>
                            <w:sz w:val="16"/>
                            <w:szCs w:val="16"/>
                            <w:lang w:val="en-US"/>
                          </w:rPr>
                          <w:t>hospitalization</w:t>
                        </w:r>
                      </w:p>
                    </w:txbxContent>
                  </v:textbox>
                </v:roundrect>
                <v:roundrect id="Rectangle: Rounded Corners 1031098523" o:spid="_x0000_s1030" style="position:absolute;left:37271;top:-457;width:24627;height:65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" fillcolor="window" strokecolor="windowText" strokeweight="1pt">
                  <v:stroke joinstyle="miter"/>
                  <v:textbox>
                    <w:txbxContent>
                      <w:p w14:paraId="57B4E946" w14:textId="509DCB82" w:rsidR="00F13930" w:rsidRPr="003B1BE2" w:rsidRDefault="003B1BE2" w:rsidP="00F13930">
                        <w:pPr>
                          <w:ind w:firstLine="0"/>
                          <w:rPr>
                            <w:sz w:val="16"/>
                            <w:szCs w:val="16"/>
                            <w:lang w:val="en-US"/>
                          </w:rPr>
                        </w:pPr>
                        <w:r>
                          <w:rPr>
                            <w:sz w:val="16"/>
                            <w:szCs w:val="16"/>
                            <w:lang w:val="en-US"/>
                          </w:rPr>
                          <w:t>First plasma OPG and MMP – 2 level test</w:t>
                        </w:r>
                      </w:p>
                    </w:txbxContent>
                  </v:textbox>
                </v:roundrect>
                <v:roundrect id="Rectangle: Rounded Corners 5426058" o:spid="_x0000_s1031" style="position:absolute;left:22268;top:29606;width:39046;height:67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" fillcolor="window" strokecolor="windowText" strokeweight="1pt">
                  <v:stroke joinstyle="miter"/>
                  <v:textbox>
                    <w:txbxContent>
                      <w:p w14:paraId="526604F6" w14:textId="56FE76F0" w:rsidR="00F13930" w:rsidRPr="001B5B63" w:rsidRDefault="001B5B63" w:rsidP="00A431D0">
                        <w:pPr>
                          <w:spacing w:line="240" w:lineRule="auto"/>
                          <w:ind w:firstLine="0"/>
                          <w:rPr>
                            <w:sz w:val="16"/>
                            <w:szCs w:val="16"/>
                            <w:lang w:val="en-US"/>
                          </w:rPr>
                        </w:pPr>
                        <w:r w:rsidRPr="001B5B63">
                          <w:rPr>
                            <w:sz w:val="16"/>
                            <w:szCs w:val="16"/>
                            <w:lang w:val="en-US"/>
                          </w:rPr>
                          <w:t>Clinical exam, Plasma OPG, MMP – 2, VAC, GLS were meas</w:t>
                        </w:r>
                        <w:r>
                          <w:rPr>
                            <w:sz w:val="16"/>
                            <w:szCs w:val="16"/>
                            <w:lang w:val="en-US"/>
                          </w:rPr>
                          <w:t>ure again on day 7 after PCI</w:t>
                        </w:r>
                      </w:p>
                    </w:txbxContent>
                  </v:textbox>
                </v:roundrect>
                <v:roundrect id="Rectangle: Rounded Corners 1788364971" o:spid="_x0000_s1032" style="position:absolute;left:22452;top:38657;width:38765;height:76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" fillcolor="window" strokecolor="windowText" strokeweight="1pt">
                  <v:stroke joinstyle="miter"/>
                  <v:textbox>
                    <w:txbxContent>
                      <w:p w14:paraId="2ED925BD" w14:textId="68FD9369" w:rsidR="00F13930" w:rsidRPr="001B5B63" w:rsidRDefault="001B5B63" w:rsidP="00A431D0">
                        <w:pPr>
                          <w:spacing w:line="240" w:lineRule="auto"/>
                          <w:ind w:firstLine="0"/>
                          <w:rPr>
                            <w:sz w:val="16"/>
                            <w:szCs w:val="16"/>
                            <w:lang w:val="en-US"/>
                          </w:rPr>
                        </w:pPr>
                        <w:r>
                          <w:rPr>
                            <w:sz w:val="16"/>
                            <w:szCs w:val="16"/>
                            <w:lang w:val="en-US"/>
                          </w:rPr>
                          <w:t>Patients were monitored clinically, echocardiography measuring VAC, GLS and cardiovascular events 12 months after PCI</w:t>
                        </w:r>
                      </w:p>
                    </w:txbxContent>
                  </v:textbox>
                </v:roundrect>
                <v:roundrect id="Rectangle: Rounded Corners 1215320906" o:spid="_x0000_s1033" style="position:absolute;left:-148;top:52634;width:26091;height:121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" fillcolor="window" strokecolor="windowText" strokeweight="1pt">
                  <v:stroke joinstyle="miter"/>
                  <v:textbox>
                    <w:txbxContent>
                      <w:p w14:paraId="5B898B5D" w14:textId="6A76A978" w:rsidR="00F13930" w:rsidRPr="00A431D0" w:rsidRDefault="001B5B63" w:rsidP="00A431D0">
                        <w:pPr>
                          <w:ind w:firstLine="0"/>
                          <w:jc w:val="center"/>
                          <w:rPr>
                            <w:b/>
                            <w:bCs/>
                            <w:sz w:val="16"/>
                            <w:szCs w:val="16"/>
                          </w:rPr>
                        </w:pPr>
                        <w:r>
                          <w:rPr>
                            <w:b/>
                            <w:bCs/>
                            <w:sz w:val="16"/>
                            <w:szCs w:val="16"/>
                          </w:rPr>
                          <w:t>Objective</w:t>
                        </w:r>
                        <w:r w:rsidR="00F13930" w:rsidRPr="00A431D0">
                          <w:rPr>
                            <w:b/>
                            <w:bCs/>
                            <w:sz w:val="16"/>
                            <w:szCs w:val="16"/>
                          </w:rPr>
                          <w:t xml:space="preserve"> 1</w:t>
                        </w:r>
                      </w:p>
                      <w:p w14:paraId="12189CD6" w14:textId="77777777" w:rsidR="00F13930" w:rsidRPr="00A431D0" w:rsidRDefault="00F13930" w:rsidP="00F13930">
                        <w:pPr>
                          <w:jc w:val="center"/>
                          <w:rPr>
                            <w:b/>
                            <w:bCs/>
                            <w:sz w:val="16"/>
                            <w:szCs w:val="16"/>
                          </w:rPr>
                        </w:pPr>
                      </w:p>
                    </w:txbxContent>
                  </v:textbox>
                </v:roundrect>
                <v:roundrect id="Rectangle: Rounded Corners 465650733" o:spid="_x0000_s1034" style="position:absolute;left:26886;top:52690;width:33470;height:121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" fillcolor="window" strokecolor="windowText" strokeweight="1pt">
                  <v:stroke joinstyle="miter"/>
                  <v:textbox>
                    <w:txbxContent>
                      <w:p w14:paraId="55457E08" w14:textId="1A090312" w:rsidR="00F13930" w:rsidRPr="00A431D0" w:rsidRDefault="001B5B63" w:rsidP="00A431D0">
                        <w:pPr>
                          <w:ind w:firstLine="0"/>
                          <w:jc w:val="center"/>
                          <w:rPr>
                            <w:b/>
                            <w:bCs/>
                            <w:sz w:val="16"/>
                            <w:szCs w:val="16"/>
                          </w:rPr>
                        </w:pPr>
                        <w:r>
                          <w:rPr>
                            <w:b/>
                            <w:bCs/>
                            <w:sz w:val="16"/>
                            <w:szCs w:val="16"/>
                          </w:rPr>
                          <w:t>Objective</w:t>
                        </w:r>
                        <w:r w:rsidRPr="00A431D0">
                          <w:rPr>
                            <w:b/>
                            <w:bCs/>
                            <w:sz w:val="16"/>
                            <w:szCs w:val="16"/>
                          </w:rPr>
                          <w:t xml:space="preserve"> </w:t>
                        </w:r>
                        <w:r w:rsidR="00F13930" w:rsidRPr="00A431D0">
                          <w:rPr>
                            <w:b/>
                            <w:bCs/>
                            <w:sz w:val="16"/>
                            <w:szCs w:val="16"/>
                          </w:rPr>
                          <w:t>2</w:t>
                        </w:r>
                      </w:p>
                      <w:p w14:paraId="47C18525" w14:textId="77777777" w:rsidR="00F13930" w:rsidRPr="00A431D0" w:rsidRDefault="00F13930" w:rsidP="00F13930">
                        <w:pPr>
                          <w:jc w:val="center"/>
                          <w:rPr>
                            <w:b/>
                            <w:bCs/>
                            <w:sz w:val="16"/>
                            <w:szCs w:val="16"/>
                          </w:rPr>
                        </w:pPr>
                      </w:p>
                    </w:txbxContent>
                  </v:textbox>
                </v:roundrect>
                <v:roundrect id="Rectangle: Rounded Corners 153769687" o:spid="_x0000_s1035" style="position:absolute;top:11648;width:21498;height:58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" fillcolor="window" strokecolor="windowText" strokeweight="1pt">
                  <v:stroke joinstyle="miter"/>
                  <v:textbox>
                    <w:txbxContent>
                      <w:p w14:paraId="1F032184" w14:textId="6AA7F77C" w:rsidR="00F13930" w:rsidRPr="00A431D0" w:rsidRDefault="003B1BE2" w:rsidP="00A431D0">
                        <w:pPr>
                          <w:spacing w:line="240" w:lineRule="auto"/>
                          <w:ind w:firstLine="0"/>
                          <w:rPr>
                            <w:sz w:val="16"/>
                            <w:szCs w:val="16"/>
                          </w:rPr>
                        </w:pPr>
                        <w:r>
                          <w:rPr>
                            <w:b/>
                            <w:bCs/>
                            <w:sz w:val="16"/>
                            <w:szCs w:val="16"/>
                          </w:rPr>
                          <w:t>Control group</w:t>
                        </w:r>
                        <w:r w:rsidR="00A431D0" w:rsidRPr="00A431D0">
                          <w:rPr>
                            <w:b/>
                            <w:bCs/>
                            <w:sz w:val="16"/>
                            <w:szCs w:val="16"/>
                          </w:rPr>
                          <w:t xml:space="preserve">: </w:t>
                        </w:r>
                        <w:r w:rsidR="00F13930" w:rsidRPr="00A431D0">
                          <w:rPr>
                            <w:sz w:val="16"/>
                            <w:szCs w:val="16"/>
                          </w:rPr>
                          <w:t xml:space="preserve">50 </w:t>
                        </w:r>
                        <w:r>
                          <w:rPr>
                            <w:sz w:val="16"/>
                            <w:szCs w:val="16"/>
                          </w:rPr>
                          <w:t>patients</w:t>
                        </w:r>
                      </w:p>
                    </w:txbxContent>
                  </v:textbox>
                </v:roundrect>
                <v:roundrect id="Rectangle: Rounded Corners 809846713" o:spid="_x0000_s1036" style="position:absolute;top:20833;width:20610;height:104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" fillcolor="window" strokecolor="windowText" strokeweight="1pt">
                  <v:stroke joinstyle="miter"/>
                  <v:textbox>
                    <w:txbxContent>
                      <w:p w14:paraId="562996D9" w14:textId="0B85946C" w:rsidR="00F13930" w:rsidRPr="00A431D0" w:rsidRDefault="003B1BE2" w:rsidP="00A431D0">
                        <w:pPr>
                          <w:ind w:firstLine="0"/>
                          <w:rPr>
                            <w:sz w:val="16"/>
                            <w:szCs w:val="16"/>
                          </w:rPr>
                        </w:pPr>
                        <w:r>
                          <w:rPr>
                            <w:sz w:val="16"/>
                            <w:szCs w:val="16"/>
                          </w:rPr>
                          <w:t>Clinical, paraclinical, coronary angiography or coronary CT angiogram</w:t>
                        </w:r>
                        <w:r w:rsidR="00F13930" w:rsidRPr="00A431D0">
                          <w:rPr>
                            <w:sz w:val="16"/>
                            <w:szCs w:val="16"/>
                          </w:rPr>
                          <w:t xml:space="preserve"> (&lt;50%)</w:t>
                        </w:r>
                      </w:p>
                    </w:txbxContent>
                  </v:textbox>
                </v:roundrect>
                <v:roundrect id="Rectangle: Rounded Corners 1938906865" o:spid="_x0000_s1037" style="position:absolute;top:34270;width:20610;height:128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" fillcolor="window" strokecolor="windowText" strokeweight="1pt">
                  <v:stroke joinstyle="miter"/>
                  <v:textbox>
                    <w:txbxContent>
                      <w:p w14:paraId="148CF121" w14:textId="21F0F458" w:rsidR="00F13930" w:rsidRPr="003B1BE2" w:rsidRDefault="00F13930" w:rsidP="003B1BE2">
                        <w:pPr>
                          <w:spacing w:line="240" w:lineRule="auto"/>
                          <w:ind w:firstLine="0"/>
                          <w:jc w:val="left"/>
                          <w:rPr>
                            <w:sz w:val="16"/>
                            <w:szCs w:val="16"/>
                            <w:lang w:val="en-US"/>
                          </w:rPr>
                        </w:pPr>
                        <w:r w:rsidRPr="003B1BE2">
                          <w:rPr>
                            <w:sz w:val="16"/>
                            <w:szCs w:val="16"/>
                            <w:lang w:val="en-US"/>
                          </w:rPr>
                          <w:t>-</w:t>
                        </w:r>
                        <w:r w:rsidR="003B1BE2">
                          <w:rPr>
                            <w:sz w:val="16"/>
                            <w:szCs w:val="16"/>
                            <w:lang w:val="en-US"/>
                          </w:rPr>
                          <w:t xml:space="preserve"> </w:t>
                        </w:r>
                        <w:r w:rsidR="003B1BE2" w:rsidRPr="003B1BE2">
                          <w:rPr>
                            <w:sz w:val="16"/>
                            <w:szCs w:val="16"/>
                            <w:lang w:val="en-US"/>
                          </w:rPr>
                          <w:t xml:space="preserve">Quantitative determination of </w:t>
                        </w:r>
                        <w:r w:rsidR="003B1BE2">
                          <w:rPr>
                            <w:sz w:val="16"/>
                            <w:szCs w:val="16"/>
                            <w:lang w:val="en-US"/>
                          </w:rPr>
                          <w:t>plasma OPG, MMP – 2 concentration</w:t>
                        </w:r>
                      </w:p>
                      <w:p w14:paraId="7E0B40D9" w14:textId="5FAA15A2" w:rsidR="00F13930" w:rsidRPr="003B1BE2" w:rsidRDefault="00F13930" w:rsidP="00A431D0">
                        <w:pPr>
                          <w:spacing w:line="240" w:lineRule="auto"/>
                          <w:ind w:firstLine="0"/>
                          <w:rPr>
                            <w:sz w:val="16"/>
                            <w:szCs w:val="16"/>
                            <w:lang w:val="en-US"/>
                          </w:rPr>
                        </w:pPr>
                        <w:r w:rsidRPr="003B1BE2">
                          <w:rPr>
                            <w:sz w:val="16"/>
                            <w:szCs w:val="16"/>
                            <w:lang w:val="en-US"/>
                          </w:rPr>
                          <w:t xml:space="preserve">- </w:t>
                        </w:r>
                        <w:r w:rsidR="003B1BE2">
                          <w:rPr>
                            <w:sz w:val="16"/>
                            <w:szCs w:val="16"/>
                            <w:lang w:val="en-US"/>
                          </w:rPr>
                          <w:t>Measure VAC, GLS by echocardyography</w:t>
                        </w:r>
                      </w:p>
                      <w:p w14:paraId="10C3B813" w14:textId="77777777" w:rsidR="00F13930" w:rsidRPr="003B1BE2" w:rsidRDefault="00F13930" w:rsidP="00A431D0">
                        <w:pPr>
                          <w:ind w:firstLine="0"/>
                          <w:rPr>
                            <w:sz w:val="16"/>
                            <w:szCs w:val="16"/>
                            <w:lang w:val="en-US"/>
                          </w:rPr>
                        </w:pPr>
                      </w:p>
                    </w:txbxContent>
                  </v:textbox>
                </v:roundrect>
                <v:shapetype id="_x0000_t32" coordsize="21600,21600" o:spt="32" o:oned="t" path="m,l21600,21600e" filled="f">
                  <v:path arrowok="t" fillok="f" o:connecttype="none"/>
                  <o:lock v:ext="edit" shapetype="t"/>
                </v:shapetype>
                <v:shape id="Straight Arrow Connector 2021387636" o:spid="_x0000_s1038" type="#_x0000_t32" style="position:absolute;left:33668;top:2910;width:37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" strokecolor="windowText" strokeweight="1.5pt">
                  <v:stroke endarrow="block" joinstyle="miter"/>
                </v:shape>
                <v:shape id="Straight Arrow Connector 980784144" o:spid="_x0000_s1039" type="#_x0000_t32" style="position:absolute;left:8666;top:17383;width:0;height:2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" strokecolor="windowText" strokeweight="1.5pt">
                  <v:stroke endarrow="block" joinstyle="miter"/>
                </v:shape>
                <v:shape id="Straight Arrow Connector 1835400334" o:spid="_x0000_s1040" type="#_x0000_t32" style="position:absolute;left:8428;top:31169;width:0;height:33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" strokecolor="windowText" strokeweight="1.5pt">
                  <v:stroke endarrow="block" joinstyle="miter"/>
                </v:shape>
                <v:line id="Straight Connector 746149715" o:spid="_x0000_s1041" style="position:absolute;flip:y;visibility:visible;mso-wrap-style:square" from="8428,48582" to="43414,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" strokecolor="windowText" strokeweight="1.5pt">
                  <v:stroke joinstyle="miter"/>
                </v:line>
                <v:shape id="Straight Arrow Connector 108500433" o:spid="_x0000_s1042" type="#_x0000_t32" style="position:absolute;left:9939;top:48582;width:16379;height:39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" strokecolor="windowText" strokeweight="1.5pt">
                  <v:stroke endarrow="block" joinstyle="miter"/>
                </v:shape>
                <v:shape id="Straight Arrow Connector 296182712" o:spid="_x0000_s1043" type="#_x0000_t32" style="position:absolute;left:26318;top:48821;width:17096;height:37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" strokecolor="windowText" strokeweight="1.5pt">
                  <v:stroke endarrow="block" joinstyle="miter"/>
                </v:shape>
                <v:shape id="Straight Arrow Connector 1058958129" o:spid="_x0000_s1044" type="#_x0000_t32" style="position:absolute;left:49424;top:6329;width:0;height:26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" strokecolor="windowText" strokeweight="1.5pt">
                  <v:stroke endarrow="block" joinstyle="miter"/>
                </v:shape>
                <v:shape id="Straight Arrow Connector 2064860664" o:spid="_x0000_s1045" type="#_x0000_t32" style="position:absolute;left:42922;top:19198;width:62;height:26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" strokecolor="windowText" strokeweight="1.5pt">
                  <v:stroke endarrow="block" joinstyle="miter"/>
                </v:shape>
                <v:shape id="Straight Arrow Connector 717114942" o:spid="_x0000_s1046" type="#_x0000_t32" style="position:absolute;left:43192;top:27342;width:0;height:2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" strokecolor="windowText" strokeweight="1.5pt">
                  <v:stroke endarrow="block" joinstyle="miter"/>
                </v:shape>
                <v:shape id="Straight Arrow Connector 301147779" o:spid="_x0000_s1047" type="#_x0000_t32" style="position:absolute;left:43414;top:36194;width:0;height:2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" strokecolor="windowText" strokeweight="1.5pt">
                  <v:stroke endarrow="block" joinstyle="miter"/>
                </v:shape>
                <v:line id="Straight Connector 643067466" o:spid="_x0000_s1048" style="position:absolute;visibility:visible;mso-wrap-style:square" from="8507,46753" to="8507,48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" strokecolor="windowText" strokeweight="1.5pt">
                  <v:stroke joinstyle="miter"/>
                </v:line>
                <v:line id="Straight Connector 667243710" o:spid="_x0000_s1049" style="position:absolute;visibility:visible;mso-wrap-style:square" from="43414,46594" to="43414,48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" strokecolor="windowText" strokeweight="1.5pt">
                  <v:stroke joinstyle="miter"/>
                </v:line>
                <w10:wrap anchorx="margin"/>
              </v:group>
            </w:pict>
          </mc:Fallback>
        </mc:AlternateContent>
      </w:r>
    </w:p>
    <w:p w14:paraId="2BEAB1DC" w14:textId="5AF8F78A" w:rsidR="00820108" w:rsidRPr="005523EC" w:rsidRDefault="003B1BE2" w:rsidP="00A431D0">
      <w:pPr>
        <w:ind w:firstLine="0"/>
        <w:jc w:val="center"/>
        <w:rPr>
          <w:b/>
          <w:bCs/>
          <w:lang w:val="vi-VN"/>
        </w:rPr>
      </w:pPr>
      <w:r>
        <w:rPr>
          <w:noProof/>
          <w:shd w:val="clear" w:color="auto" w:fill="auto"/>
        </w:rPr>
        <mc:AlternateContent>
          <mc:Choice Requires="wps">
            <w:drawing>
              <wp:anchor distT="0" distB="0" distL="114300" distR="114300" simplePos="0" relativeHeight="251683840" behindDoc="0" locked="0" layoutInCell="1" allowOverlap="1" wp14:anchorId="2F73A2C9" wp14:editId="538AD8DE">
                <wp:simplePos x="0" y="0"/>
                <wp:positionH relativeFrom="column">
                  <wp:posOffset>2710815</wp:posOffset>
                </wp:positionH>
                <wp:positionV relativeFrom="paragraph">
                  <wp:posOffset>906722</wp:posOffset>
                </wp:positionV>
                <wp:extent cx="0" cy="184150"/>
                <wp:effectExtent l="76200" t="0" r="57150" b="63500"/>
                <wp:wrapNone/>
                <wp:docPr id="519083686" name="Straight Arrow Connector 1"/>
                <wp:cNvGraphicFramePr/>
                <a:graphic xmlns:a="http://schemas.openxmlformats.org/drawingml/2006/main">
                  <a:graphicData uri="http://schemas.microsoft.com/office/word/2010/wordprocessingShape">
                    <wps:wsp>
                      <wps:cNvCnPr/>
                      <wps:spPr>
                        <a:xfrm>
                          <a:off x="0" y="0"/>
                          <a:ext cx="0" cy="18415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w:pict>
              <v:shape w14:anchorId="4ADB845E" id="Straight Arrow Connector 1" o:spid="_x0000_s1026" type="#_x0000_t32" style="position:absolute;margin-left:213.45pt;margin-top:71.4pt;width:0;height:14.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" strokecolor="windowText" strokeweight="1.5pt">
                <v:stroke endarrow="block" joinstyle="miter"/>
              </v:shape>
            </w:pict>
          </mc:Fallback>
        </mc:AlternateContent>
      </w:r>
      <w:r>
        <w:rPr>
          <w:noProof/>
          <w:shd w:val="clear" w:color="auto" w:fill="auto"/>
        </w:rPr>
        <mc:AlternateContent>
          <mc:Choice Requires="wps">
            <w:drawing>
              <wp:anchor distT="0" distB="0" distL="114300" distR="114300" simplePos="0" relativeHeight="251681792" behindDoc="0" locked="0" layoutInCell="1" allowOverlap="1" wp14:anchorId="4021E9A0" wp14:editId="087D4C93">
                <wp:simplePos x="0" y="0"/>
                <wp:positionH relativeFrom="margin">
                  <wp:align>right</wp:align>
                </wp:positionH>
                <wp:positionV relativeFrom="paragraph">
                  <wp:posOffset>642158</wp:posOffset>
                </wp:positionV>
                <wp:extent cx="1724891" cy="259172"/>
                <wp:effectExtent l="0" t="0" r="27940" b="26670"/>
                <wp:wrapNone/>
                <wp:docPr id="872935226" name="Rectangle: Rounded Corners 1"/>
                <wp:cNvGraphicFramePr/>
                <a:graphic xmlns:a="http://schemas.openxmlformats.org/drawingml/2006/main">
                  <a:graphicData uri="http://schemas.microsoft.com/office/word/2010/wordprocessingShape">
                    <wps:wsp>
                      <wps:cNvSpPr/>
                      <wps:spPr>
                        <a:xfrm>
                          <a:off x="0" y="0"/>
                          <a:ext cx="1724891" cy="25917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95D68A0" w14:textId="75A99B34" w:rsidR="003B1BE2" w:rsidRPr="003B1BE2" w:rsidRDefault="003B1BE2" w:rsidP="003B1BE2">
                            <w:pPr>
                              <w:ind w:firstLine="0"/>
                              <w:rPr>
                                <w:sz w:val="16"/>
                                <w:szCs w:val="16"/>
                                <w:lang w:val="en-US"/>
                              </w:rPr>
                            </w:pPr>
                            <w:r>
                              <w:rPr>
                                <w:sz w:val="16"/>
                                <w:szCs w:val="16"/>
                                <w:lang w:val="en-US"/>
                              </w:rPr>
                              <w:t>Percutaneous coronary intervention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w14:anchorId="4021E9A0" id="Rectangle: Rounded Corners 1" o:spid="_x0000_s1050" style="position:absolute;left:0;text-align:left;margin-left:84.6pt;margin-top:50.55pt;width:135.8pt;height:20.4pt;z-index:2516817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" fillcolor="window" strokecolor="windowText" strokeweight="1pt">
                <v:stroke joinstyle="miter"/>
                <v:textbox>
                  <w:txbxContent>
                    <w:p w14:paraId="595D68A0" w14:textId="75A99B34" w:rsidR="003B1BE2" w:rsidRPr="003B1BE2" w:rsidRDefault="003B1BE2" w:rsidP="003B1BE2">
                      <w:pPr>
                        <w:ind w:firstLine="0"/>
                        <w:rPr>
                          <w:sz w:val="16"/>
                          <w:szCs w:val="16"/>
                          <w:lang w:val="en-US"/>
                        </w:rPr>
                      </w:pPr>
                      <w:r>
                        <w:rPr>
                          <w:sz w:val="16"/>
                          <w:szCs w:val="16"/>
                          <w:lang w:val="en-US"/>
                        </w:rPr>
                        <w:t>Percutaneous coronary intervention</w:t>
                      </w:r>
                    </w:p>
                  </w:txbxContent>
                </v:textbox>
                <w10:wrap anchorx="margin"/>
              </v:roundrect>
            </w:pict>
          </mc:Fallback>
        </mc:AlternateContent>
      </w:r>
      <w:r w:rsidR="00AF0185" w:rsidRPr="005523EC">
        <w:rPr>
          <w:lang w:val="vi-VN"/>
        </w:rPr>
        <w:br w:type="column"/>
      </w:r>
      <w:r w:rsidR="00031ECC" w:rsidRPr="005523EC">
        <w:rPr>
          <w:b/>
          <w:bCs/>
          <w:lang w:val="vi-VN"/>
        </w:rPr>
        <w:lastRenderedPageBreak/>
        <w:t xml:space="preserve">Chapter 3. </w:t>
      </w:r>
      <w:r w:rsidR="00820108" w:rsidRPr="005523EC">
        <w:rPr>
          <w:b/>
          <w:bCs/>
          <w:lang w:val="vi-VN"/>
        </w:rPr>
        <w:t>Research Results</w:t>
      </w:r>
    </w:p>
    <w:p w14:paraId="65B61445" w14:textId="0EF4DCD7" w:rsidR="00820108" w:rsidRPr="005523EC" w:rsidRDefault="00600AEA" w:rsidP="00C25BE7">
      <w:pPr>
        <w:pStyle w:val="Heading2"/>
        <w:numPr>
          <w:ilvl w:val="0"/>
          <w:numId w:val="0"/>
        </w:numPr>
        <w:spacing w:line="320" w:lineRule="exact"/>
        <w:ind w:left="576" w:hanging="576"/>
        <w:rPr>
          <w:lang w:val="vi-VN"/>
        </w:rPr>
      </w:pPr>
      <w:r w:rsidRPr="0023747C">
        <w:rPr>
          <w:lang w:val="vi-VN"/>
        </w:rPr>
        <w:t>3.1. General characteristics of the research subjects</w:t>
      </w:r>
    </w:p>
    <w:p w14:paraId="0EC68DB8" w14:textId="2CB27FA1" w:rsidR="006C691C" w:rsidRDefault="00091180" w:rsidP="00C25BE7">
      <w:pPr>
        <w:spacing w:line="320" w:lineRule="exact"/>
        <w:ind w:firstLine="284"/>
        <w:rPr>
          <w:bCs/>
        </w:rPr>
      </w:pPr>
      <w:r w:rsidRPr="0023747C">
        <w:rPr>
          <w:bCs/>
          <w:lang w:val="vi-VN"/>
        </w:rPr>
        <w:t>- The average age of the acute myocardial infarction (AMI) group was 66.51 ± 11.17 years, which was no different from the control group (65.7 ± 12.43 years). The proportion of males in the AMI group was higher than in the control group (77.9% vs. 54%).</w:t>
      </w:r>
    </w:p>
    <w:p w14:paraId="110F24EC" w14:textId="637D4F63" w:rsidR="005523EC" w:rsidRPr="005523EC" w:rsidRDefault="005523EC" w:rsidP="00C25BE7">
      <w:pPr>
        <w:spacing w:line="320" w:lineRule="exact"/>
        <w:ind w:firstLine="284"/>
        <w:rPr>
          <w:bCs/>
        </w:rPr>
      </w:pPr>
      <w:r>
        <w:rPr>
          <w:bCs/>
        </w:rPr>
        <w:t>- The acute myocardial infarction (AMI) group had a significantly higher proportion of patients who smoked and had diabetes compared to the control group (35.5%, 20.6% vs. 4.0%, 2.0%), a lower proportion of patients with hypertension (55.1% vs. 90%), and no difference in the proportion of patients with dyslipidemia and previous stroke.</w:t>
      </w:r>
    </w:p>
    <w:p w14:paraId="7C0698E2" w14:textId="2FDD8094" w:rsidR="00A64994" w:rsidRDefault="00BE238C" w:rsidP="00C25BE7">
      <w:pPr>
        <w:spacing w:line="320" w:lineRule="exact"/>
        <w:ind w:firstLine="284"/>
      </w:pPr>
      <w:r w:rsidRPr="0023747C">
        <w:rPr>
          <w:lang w:val="vi-VN"/>
        </w:rPr>
        <w:t xml:space="preserve">- The proportion of patients with STEMI was 86.8%. </w:t>
      </w:r>
      <w:r w:rsidR="005523EC">
        <w:t>Killip I accounted for 91.2%.</w:t>
      </w:r>
    </w:p>
    <w:p w14:paraId="41E489EF" w14:textId="28F53AF4" w:rsidR="005523EC" w:rsidRPr="005523EC" w:rsidRDefault="005523EC" w:rsidP="00C25BE7">
      <w:pPr>
        <w:spacing w:line="320" w:lineRule="exact"/>
        <w:ind w:firstLine="284"/>
      </w:pPr>
      <w:r>
        <w:t>- The time from chest pain onset to hospital admission was less than 12 hours in 69.9% of the acute myocardial infarction (AMI) group.</w:t>
      </w:r>
    </w:p>
    <w:p w14:paraId="0B85F95E" w14:textId="06F99302" w:rsidR="00820108" w:rsidRPr="007025A6" w:rsidRDefault="00820108" w:rsidP="007025A6">
      <w:pPr>
        <w:spacing w:line="320" w:lineRule="exact"/>
        <w:ind w:firstLine="284"/>
      </w:pPr>
      <w:r w:rsidRPr="0023747C">
        <w:rPr>
          <w:lang w:val="vi-VN"/>
        </w:rPr>
        <w:t xml:space="preserve">- </w:t>
      </w:r>
      <w:r w:rsidR="007025A6">
        <w:t>Characteristics of coronary artery lesions: 38.9% of patients had lesions in 1 coronary artery branch, 61.1% of patients had lesions in ≥ 2 coronary artery branches, with anterior interventricular artery lesions accounting for the majority (50.7%).</w:t>
      </w:r>
    </w:p>
    <w:p w14:paraId="4AE78AAC" w14:textId="27484D33" w:rsidR="003F3D3F" w:rsidRPr="0023747C" w:rsidRDefault="003F3D3F" w:rsidP="00C25BE7">
      <w:pPr>
        <w:spacing w:line="320" w:lineRule="exact"/>
        <w:ind w:firstLine="0"/>
        <w:rPr>
          <w:rFonts w:eastAsia="Play"/>
          <w:b/>
          <w:bCs/>
          <w:lang w:val="vi-VN"/>
        </w:rPr>
      </w:pPr>
      <w:r w:rsidRPr="0023747C">
        <w:rPr>
          <w:b/>
          <w:bCs/>
          <w:lang w:val="vi-VN"/>
        </w:rPr>
        <w:t xml:space="preserve">3.2. </w:t>
      </w:r>
      <w:r w:rsidR="007025A6">
        <w:rPr>
          <w:b/>
          <w:bCs/>
        </w:rPr>
        <w:t>Changes in plasma concentrations of osteoprotegerin, matrix metalloproteinase-2, left ventricular longitudinal tension, and left ventricular-arterial compatibility.</w:t>
      </w:r>
      <w:r w:rsidRPr="0023747C">
        <w:rPr>
          <w:rFonts w:eastAsia="Play"/>
          <w:b/>
          <w:bCs/>
          <w:lang w:val="vi-VN"/>
        </w:rPr>
        <w:t xml:space="preserve"> </w:t>
      </w:r>
    </w:p>
    <w:p w14:paraId="274E2ECE" w14:textId="09BF6E37" w:rsidR="0019407F" w:rsidRDefault="003F3D3F" w:rsidP="007025A6">
      <w:pPr>
        <w:spacing w:line="320" w:lineRule="exact"/>
        <w:ind w:firstLine="0"/>
        <w:rPr>
          <w:rFonts w:eastAsia="Play"/>
          <w:b/>
          <w:bCs/>
          <w:i/>
          <w:iCs/>
        </w:rPr>
      </w:pPr>
      <w:r w:rsidRPr="0023747C">
        <w:rPr>
          <w:rFonts w:eastAsia="Play"/>
          <w:b/>
          <w:bCs/>
          <w:i/>
          <w:iCs/>
          <w:lang w:val="vi-VN"/>
        </w:rPr>
        <w:t xml:space="preserve">3.2.1. </w:t>
      </w:r>
      <w:bookmarkStart w:id="8" w:name="_Hlk210360750"/>
      <w:r w:rsidR="007025A6" w:rsidRPr="007025A6">
        <w:rPr>
          <w:rFonts w:eastAsia="Play"/>
          <w:b/>
          <w:bCs/>
          <w:i/>
          <w:iCs/>
          <w:lang w:val="vi-VN"/>
        </w:rPr>
        <w:t>Changes in plasma OPG and MMP-2 concentrations</w:t>
      </w:r>
    </w:p>
    <w:p w14:paraId="1B3FA276" w14:textId="4068EB4C" w:rsidR="007025A6" w:rsidRDefault="007025A6" w:rsidP="007025A6">
      <w:pPr>
        <w:spacing w:line="320" w:lineRule="exact"/>
        <w:ind w:firstLine="0"/>
        <w:jc w:val="center"/>
        <w:rPr>
          <w:rFonts w:eastAsia="Play"/>
        </w:rPr>
      </w:pPr>
      <w:r>
        <w:rPr>
          <w:rFonts w:eastAsia="Play"/>
        </w:rPr>
        <w:t>Table 3.1. Characteristics of plasma OPG concentrations before intervention.</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1574"/>
        <w:gridCol w:w="1560"/>
        <w:gridCol w:w="1562"/>
        <w:gridCol w:w="988"/>
      </w:tblGrid>
      <w:tr w:rsidR="007025A6" w:rsidRPr="007025A6" w14:paraId="73F5DC75" w14:textId="77777777" w:rsidTr="00AE0B73">
        <w:trPr>
          <w:jc w:val="center"/>
        </w:trPr>
        <w:tc>
          <w:tcPr>
            <w:tcW w:w="638" w:type="pct"/>
            <w:vAlign w:val="center"/>
          </w:tcPr>
          <w:p w14:paraId="23FF6E3C" w14:textId="77777777" w:rsidR="007025A6" w:rsidRPr="007025A6" w:rsidRDefault="007025A6" w:rsidP="00014579">
            <w:pPr>
              <w:spacing w:line="240" w:lineRule="auto"/>
              <w:ind w:firstLine="0"/>
              <w:jc w:val="center"/>
              <w:rPr>
                <w:rFonts w:eastAsia="Play"/>
                <w:sz w:val="18"/>
                <w:szCs w:val="18"/>
              </w:rPr>
            </w:pPr>
          </w:p>
        </w:tc>
        <w:tc>
          <w:tcPr>
            <w:tcW w:w="1208" w:type="pct"/>
            <w:vAlign w:val="center"/>
          </w:tcPr>
          <w:p w14:paraId="1934B882" w14:textId="5C4F3106" w:rsidR="007025A6" w:rsidRPr="007025A6" w:rsidRDefault="007025A6" w:rsidP="00014579">
            <w:pPr>
              <w:spacing w:line="240" w:lineRule="auto"/>
              <w:ind w:firstLine="0"/>
              <w:jc w:val="center"/>
              <w:rPr>
                <w:rFonts w:eastAsia="Play"/>
                <w:b/>
                <w:bCs/>
                <w:sz w:val="18"/>
                <w:szCs w:val="18"/>
              </w:rPr>
            </w:pPr>
            <w:r>
              <w:rPr>
                <w:rFonts w:eastAsia="Play"/>
                <w:b/>
                <w:bCs/>
                <w:sz w:val="18"/>
                <w:szCs w:val="18"/>
              </w:rPr>
              <w:t>STEMI Group</w:t>
            </w:r>
          </w:p>
          <w:p w14:paraId="16971C5C" w14:textId="0F3BDE5F" w:rsidR="007025A6" w:rsidRPr="007025A6" w:rsidRDefault="007025A6" w:rsidP="00014579">
            <w:pPr>
              <w:spacing w:line="240" w:lineRule="auto"/>
              <w:ind w:firstLine="0"/>
              <w:jc w:val="center"/>
              <w:rPr>
                <w:rFonts w:eastAsia="Play"/>
                <w:b/>
                <w:bCs/>
                <w:sz w:val="18"/>
                <w:szCs w:val="18"/>
              </w:rPr>
            </w:pPr>
            <w:r w:rsidRPr="007025A6">
              <w:rPr>
                <w:rFonts w:eastAsia="Play"/>
                <w:b/>
                <w:bCs/>
                <w:sz w:val="18"/>
                <w:szCs w:val="18"/>
              </w:rPr>
              <w:t>(n = 117)</w:t>
            </w:r>
          </w:p>
        </w:tc>
        <w:tc>
          <w:tcPr>
            <w:tcW w:w="1197" w:type="pct"/>
            <w:vAlign w:val="center"/>
          </w:tcPr>
          <w:p w14:paraId="3E27B3B0" w14:textId="1E6443FE" w:rsidR="007025A6" w:rsidRPr="007025A6" w:rsidRDefault="007025A6" w:rsidP="00014579">
            <w:pPr>
              <w:spacing w:line="240" w:lineRule="auto"/>
              <w:ind w:firstLine="0"/>
              <w:jc w:val="center"/>
              <w:rPr>
                <w:rFonts w:eastAsia="Play"/>
                <w:b/>
                <w:bCs/>
                <w:sz w:val="18"/>
                <w:szCs w:val="18"/>
              </w:rPr>
            </w:pPr>
            <w:r>
              <w:rPr>
                <w:rFonts w:eastAsia="Play"/>
                <w:b/>
                <w:bCs/>
                <w:sz w:val="18"/>
                <w:szCs w:val="18"/>
              </w:rPr>
              <w:t>NSTEMI Group</w:t>
            </w:r>
          </w:p>
          <w:p w14:paraId="14253E9B" w14:textId="77777777" w:rsidR="007025A6" w:rsidRPr="007025A6" w:rsidRDefault="007025A6" w:rsidP="00014579">
            <w:pPr>
              <w:spacing w:line="240" w:lineRule="auto"/>
              <w:ind w:firstLine="0"/>
              <w:jc w:val="center"/>
              <w:rPr>
                <w:rFonts w:eastAsia="Play"/>
                <w:b/>
                <w:bCs/>
                <w:sz w:val="18"/>
                <w:szCs w:val="18"/>
              </w:rPr>
            </w:pPr>
            <w:r w:rsidRPr="007025A6">
              <w:rPr>
                <w:rFonts w:eastAsia="Play"/>
                <w:b/>
                <w:bCs/>
                <w:sz w:val="18"/>
                <w:szCs w:val="18"/>
              </w:rPr>
              <w:t>(n = 18)</w:t>
            </w:r>
          </w:p>
        </w:tc>
        <w:tc>
          <w:tcPr>
            <w:tcW w:w="1199" w:type="pct"/>
            <w:vAlign w:val="center"/>
          </w:tcPr>
          <w:p w14:paraId="73DF87B6" w14:textId="757CE6FD" w:rsidR="007025A6" w:rsidRPr="007025A6" w:rsidRDefault="007025A6" w:rsidP="00014579">
            <w:pPr>
              <w:spacing w:line="240" w:lineRule="auto"/>
              <w:ind w:right="-109" w:firstLine="0"/>
              <w:jc w:val="center"/>
              <w:rPr>
                <w:rFonts w:eastAsia="Play"/>
                <w:b/>
                <w:bCs/>
                <w:sz w:val="18"/>
                <w:szCs w:val="18"/>
              </w:rPr>
            </w:pPr>
            <w:r w:rsidRPr="007025A6">
              <w:rPr>
                <w:rFonts w:eastAsia="Play"/>
                <w:b/>
                <w:bCs/>
                <w:sz w:val="18"/>
                <w:szCs w:val="18"/>
              </w:rPr>
              <w:t>Control group</w:t>
            </w:r>
          </w:p>
          <w:p w14:paraId="6166554A" w14:textId="77777777" w:rsidR="007025A6" w:rsidRPr="007025A6" w:rsidRDefault="007025A6" w:rsidP="00014579">
            <w:pPr>
              <w:spacing w:line="240" w:lineRule="auto"/>
              <w:ind w:firstLine="0"/>
              <w:jc w:val="center"/>
              <w:rPr>
                <w:rFonts w:eastAsia="Play"/>
                <w:b/>
                <w:bCs/>
                <w:sz w:val="18"/>
                <w:szCs w:val="18"/>
              </w:rPr>
            </w:pPr>
            <w:r w:rsidRPr="007025A6">
              <w:rPr>
                <w:rFonts w:eastAsia="Play"/>
                <w:b/>
                <w:bCs/>
                <w:sz w:val="18"/>
                <w:szCs w:val="18"/>
              </w:rPr>
              <w:t>(n = 50)</w:t>
            </w:r>
          </w:p>
        </w:tc>
        <w:tc>
          <w:tcPr>
            <w:tcW w:w="758" w:type="pct"/>
            <w:vAlign w:val="center"/>
          </w:tcPr>
          <w:p w14:paraId="2DE2E19C" w14:textId="77777777" w:rsidR="007025A6" w:rsidRPr="007025A6" w:rsidRDefault="007025A6" w:rsidP="00AE0B73">
            <w:pPr>
              <w:spacing w:line="240" w:lineRule="auto"/>
              <w:ind w:right="-106" w:firstLine="0"/>
              <w:jc w:val="center"/>
              <w:rPr>
                <w:rFonts w:eastAsia="Play"/>
                <w:b/>
                <w:bCs/>
                <w:sz w:val="18"/>
                <w:szCs w:val="18"/>
              </w:rPr>
            </w:pPr>
            <w:r w:rsidRPr="007025A6">
              <w:rPr>
                <w:rFonts w:eastAsia="Play"/>
                <w:b/>
                <w:bCs/>
                <w:sz w:val="18"/>
                <w:szCs w:val="18"/>
              </w:rPr>
              <w:t>p</w:t>
            </w:r>
          </w:p>
        </w:tc>
      </w:tr>
      <w:tr w:rsidR="007025A6" w:rsidRPr="007025A6" w14:paraId="6E31A8F2" w14:textId="77777777" w:rsidTr="00AE0B73">
        <w:trPr>
          <w:jc w:val="center"/>
        </w:trPr>
        <w:tc>
          <w:tcPr>
            <w:tcW w:w="638" w:type="pct"/>
            <w:vAlign w:val="center"/>
          </w:tcPr>
          <w:p w14:paraId="3A177CF3" w14:textId="77777777" w:rsidR="007025A6" w:rsidRPr="007025A6" w:rsidRDefault="007025A6" w:rsidP="00014579">
            <w:pPr>
              <w:spacing w:line="240" w:lineRule="auto"/>
              <w:ind w:firstLine="0"/>
              <w:jc w:val="center"/>
              <w:rPr>
                <w:rFonts w:eastAsia="Play"/>
                <w:i/>
                <w:sz w:val="18"/>
                <w:szCs w:val="18"/>
                <w:lang w:val="de-DE"/>
              </w:rPr>
            </w:pPr>
            <w:r w:rsidRPr="007025A6">
              <w:rPr>
                <w:rFonts w:eastAsia="Play"/>
                <w:sz w:val="18"/>
                <w:szCs w:val="18"/>
              </w:rPr>
              <w:t xml:space="preserve">X̅ ± SD </w:t>
            </w:r>
            <w:r w:rsidRPr="007025A6">
              <w:rPr>
                <w:rFonts w:eastAsia="Play"/>
                <w:i/>
                <w:sz w:val="18"/>
                <w:szCs w:val="18"/>
                <w:lang w:val="de-DE"/>
              </w:rPr>
              <w:t>(pg/ml)</w:t>
            </w:r>
          </w:p>
        </w:tc>
        <w:tc>
          <w:tcPr>
            <w:tcW w:w="1208" w:type="pct"/>
            <w:vAlign w:val="center"/>
          </w:tcPr>
          <w:p w14:paraId="32214747" w14:textId="77777777" w:rsidR="007025A6" w:rsidRPr="007025A6" w:rsidRDefault="007025A6" w:rsidP="00014579">
            <w:pPr>
              <w:spacing w:line="240" w:lineRule="auto"/>
              <w:ind w:firstLine="0"/>
              <w:jc w:val="center"/>
              <w:rPr>
                <w:rFonts w:eastAsia="Play"/>
                <w:iCs/>
                <w:sz w:val="18"/>
                <w:szCs w:val="18"/>
                <w:lang w:val="de-DE"/>
              </w:rPr>
            </w:pPr>
            <w:r w:rsidRPr="007025A6">
              <w:rPr>
                <w:rFonts w:eastAsia="Play"/>
                <w:sz w:val="18"/>
                <w:szCs w:val="18"/>
              </w:rPr>
              <w:t xml:space="preserve">2319.15 </w:t>
            </w:r>
            <w:r w:rsidRPr="007025A6">
              <w:rPr>
                <w:rFonts w:eastAsia="Play"/>
                <w:i/>
                <w:sz w:val="18"/>
                <w:szCs w:val="18"/>
                <w:lang w:val="de-DE"/>
              </w:rPr>
              <w:t xml:space="preserve">± </w:t>
            </w:r>
            <w:r w:rsidRPr="007025A6">
              <w:rPr>
                <w:rFonts w:eastAsia="Play"/>
                <w:iCs/>
                <w:sz w:val="18"/>
                <w:szCs w:val="18"/>
                <w:lang w:val="de-DE"/>
              </w:rPr>
              <w:t>706.70</w:t>
            </w:r>
          </w:p>
        </w:tc>
        <w:tc>
          <w:tcPr>
            <w:tcW w:w="1197" w:type="pct"/>
            <w:vAlign w:val="center"/>
          </w:tcPr>
          <w:p w14:paraId="41B82FD5" w14:textId="40D26043" w:rsidR="007025A6" w:rsidRPr="007025A6" w:rsidRDefault="007025A6" w:rsidP="00014579">
            <w:pPr>
              <w:spacing w:line="240" w:lineRule="auto"/>
              <w:ind w:firstLine="0"/>
              <w:jc w:val="center"/>
              <w:rPr>
                <w:rFonts w:eastAsia="Play"/>
                <w:iCs/>
                <w:sz w:val="18"/>
                <w:szCs w:val="18"/>
                <w:lang w:val="de-DE"/>
              </w:rPr>
            </w:pPr>
            <w:r w:rsidRPr="007025A6">
              <w:rPr>
                <w:rFonts w:eastAsia="Play"/>
                <w:sz w:val="18"/>
                <w:szCs w:val="18"/>
              </w:rPr>
              <w:t xml:space="preserve">2352.74 </w:t>
            </w:r>
            <w:r w:rsidRPr="007025A6">
              <w:rPr>
                <w:rFonts w:eastAsia="Play"/>
                <w:i/>
                <w:sz w:val="18"/>
                <w:szCs w:val="18"/>
                <w:lang w:val="de-DE"/>
              </w:rPr>
              <w:t xml:space="preserve">± </w:t>
            </w:r>
            <w:r w:rsidRPr="007025A6">
              <w:rPr>
                <w:rFonts w:eastAsia="Play"/>
                <w:iCs/>
                <w:sz w:val="18"/>
                <w:szCs w:val="18"/>
                <w:lang w:val="de-DE"/>
              </w:rPr>
              <w:t>673.62</w:t>
            </w:r>
          </w:p>
        </w:tc>
        <w:tc>
          <w:tcPr>
            <w:tcW w:w="1199" w:type="pct"/>
            <w:vAlign w:val="center"/>
          </w:tcPr>
          <w:p w14:paraId="520FCB54" w14:textId="77777777" w:rsidR="007025A6" w:rsidRPr="007025A6" w:rsidRDefault="007025A6" w:rsidP="00014579">
            <w:pPr>
              <w:spacing w:line="240" w:lineRule="auto"/>
              <w:ind w:firstLine="0"/>
              <w:jc w:val="center"/>
              <w:rPr>
                <w:rFonts w:eastAsia="Play"/>
                <w:iCs/>
                <w:sz w:val="18"/>
                <w:szCs w:val="18"/>
                <w:lang w:val="de-DE"/>
              </w:rPr>
            </w:pPr>
            <w:r w:rsidRPr="007025A6">
              <w:rPr>
                <w:rFonts w:eastAsia="Play"/>
                <w:sz w:val="18"/>
                <w:szCs w:val="18"/>
              </w:rPr>
              <w:t xml:space="preserve">1424.24 </w:t>
            </w:r>
            <w:r w:rsidRPr="007025A6">
              <w:rPr>
                <w:rFonts w:eastAsia="Play"/>
                <w:i/>
                <w:sz w:val="18"/>
                <w:szCs w:val="18"/>
                <w:lang w:val="de-DE"/>
              </w:rPr>
              <w:t xml:space="preserve">± </w:t>
            </w:r>
            <w:r w:rsidRPr="007025A6">
              <w:rPr>
                <w:rFonts w:eastAsia="Play"/>
                <w:iCs/>
                <w:sz w:val="18"/>
                <w:szCs w:val="18"/>
                <w:lang w:val="de-DE"/>
              </w:rPr>
              <w:t>456.74</w:t>
            </w:r>
          </w:p>
        </w:tc>
        <w:tc>
          <w:tcPr>
            <w:tcW w:w="758" w:type="pct"/>
            <w:vAlign w:val="center"/>
          </w:tcPr>
          <w:p w14:paraId="42F84443" w14:textId="77777777" w:rsidR="007025A6" w:rsidRPr="007025A6" w:rsidRDefault="007025A6" w:rsidP="00014579">
            <w:pPr>
              <w:spacing w:line="240" w:lineRule="auto"/>
              <w:ind w:firstLine="0"/>
              <w:jc w:val="center"/>
              <w:rPr>
                <w:rFonts w:eastAsia="Play"/>
                <w:sz w:val="18"/>
                <w:szCs w:val="18"/>
              </w:rPr>
            </w:pPr>
            <w:r w:rsidRPr="007025A6">
              <w:rPr>
                <w:rFonts w:eastAsia="Play"/>
                <w:sz w:val="18"/>
                <w:szCs w:val="18"/>
              </w:rPr>
              <w:t xml:space="preserve">0.85 </w:t>
            </w:r>
            <w:r w:rsidRPr="007025A6">
              <w:rPr>
                <w:rFonts w:eastAsia="Play"/>
                <w:sz w:val="18"/>
                <w:szCs w:val="18"/>
                <w:vertAlign w:val="superscript"/>
              </w:rPr>
              <w:t>*</w:t>
            </w:r>
          </w:p>
          <w:p w14:paraId="495F83A6" w14:textId="77777777" w:rsidR="007025A6" w:rsidRPr="007025A6" w:rsidRDefault="007025A6" w:rsidP="00014579">
            <w:pPr>
              <w:spacing w:line="240" w:lineRule="auto"/>
              <w:ind w:firstLine="0"/>
              <w:jc w:val="center"/>
              <w:rPr>
                <w:rFonts w:eastAsia="Play"/>
                <w:sz w:val="18"/>
                <w:szCs w:val="18"/>
              </w:rPr>
            </w:pPr>
            <w:r w:rsidRPr="007025A6">
              <w:rPr>
                <w:rFonts w:eastAsia="Play"/>
                <w:sz w:val="18"/>
                <w:szCs w:val="18"/>
              </w:rPr>
              <w:t xml:space="preserve">&lt; 0.001 </w:t>
            </w:r>
            <w:r w:rsidRPr="007025A6">
              <w:rPr>
                <w:rFonts w:eastAsia="Play"/>
                <w:sz w:val="18"/>
                <w:szCs w:val="18"/>
                <w:vertAlign w:val="superscript"/>
              </w:rPr>
              <w:t>#</w:t>
            </w:r>
          </w:p>
          <w:p w14:paraId="704A51D1" w14:textId="77777777" w:rsidR="007025A6" w:rsidRPr="007025A6" w:rsidRDefault="007025A6" w:rsidP="00014579">
            <w:pPr>
              <w:spacing w:line="240" w:lineRule="auto"/>
              <w:ind w:firstLine="0"/>
              <w:jc w:val="center"/>
              <w:rPr>
                <w:rFonts w:eastAsia="Play"/>
                <w:sz w:val="18"/>
                <w:szCs w:val="18"/>
              </w:rPr>
            </w:pPr>
            <w:r w:rsidRPr="007025A6">
              <w:rPr>
                <w:rFonts w:eastAsia="Play"/>
                <w:sz w:val="18"/>
                <w:szCs w:val="18"/>
              </w:rPr>
              <w:t xml:space="preserve">&lt; 0.001 </w:t>
            </w:r>
            <w:r w:rsidRPr="007025A6">
              <w:rPr>
                <w:rFonts w:eastAsia="Play"/>
                <w:sz w:val="18"/>
                <w:szCs w:val="18"/>
                <w:vertAlign w:val="superscript"/>
                <w:lang w:val="vi-VN"/>
              </w:rPr>
              <w:t>‡</w:t>
            </w:r>
          </w:p>
        </w:tc>
      </w:tr>
    </w:tbl>
    <w:p w14:paraId="7BA9D17F" w14:textId="2C06ED4B" w:rsidR="007025A6" w:rsidRPr="007025A6" w:rsidRDefault="007025A6" w:rsidP="007025A6">
      <w:pPr>
        <w:spacing w:line="320" w:lineRule="exact"/>
        <w:ind w:firstLine="0"/>
        <w:rPr>
          <w:rFonts w:eastAsia="Play"/>
        </w:rPr>
      </w:pPr>
      <w:r w:rsidRPr="007025A6">
        <w:rPr>
          <w:rFonts w:eastAsia="Play"/>
        </w:rPr>
        <w:lastRenderedPageBreak/>
        <w:t>(Note: *: comparison between STEMI and NSTEMI groups. #: comparison between STEMI and control groups. ‡: comparison between NSTEMI and control groups.)</w:t>
      </w:r>
    </w:p>
    <w:p w14:paraId="6819221D" w14:textId="60656B1A" w:rsidR="007025A6" w:rsidRDefault="007025A6" w:rsidP="007025A6">
      <w:pPr>
        <w:spacing w:line="320" w:lineRule="exact"/>
        <w:ind w:firstLine="0"/>
        <w:rPr>
          <w:rFonts w:eastAsia="Play"/>
        </w:rPr>
      </w:pPr>
      <w:r w:rsidRPr="007025A6">
        <w:rPr>
          <w:rFonts w:eastAsia="Play"/>
        </w:rPr>
        <w:tab/>
        <w:t xml:space="preserve">There were no differences in plasma OPG concentrations between the </w:t>
      </w:r>
      <w:r>
        <w:rPr>
          <w:rFonts w:eastAsia="Play"/>
        </w:rPr>
        <w:t>STEMI and NSTEMI groups. Pre-intervention OPG concentrations in the NMCT group were statistically significantly higher than in the control group (p &lt; 0.001).</w:t>
      </w:r>
    </w:p>
    <w:p w14:paraId="5A93B619" w14:textId="18F23F49" w:rsidR="007025A6" w:rsidRDefault="007025A6" w:rsidP="007025A6">
      <w:pPr>
        <w:spacing w:line="320" w:lineRule="exact"/>
        <w:ind w:firstLine="0"/>
        <w:jc w:val="center"/>
        <w:rPr>
          <w:rFonts w:eastAsia="Play"/>
        </w:rPr>
      </w:pPr>
      <w:r>
        <w:rPr>
          <w:rFonts w:eastAsia="Play"/>
        </w:rPr>
        <w:t xml:space="preserve">Table 3.2. Comparison of OPG concentrations </w:t>
      </w:r>
      <w:r w:rsidR="00014579">
        <w:rPr>
          <w:rFonts w:eastAsia="Play"/>
        </w:rPr>
        <w:t>in the myocardial infarction group before and 7 days after intervention (n = 135)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859"/>
        <w:gridCol w:w="1701"/>
        <w:gridCol w:w="760"/>
      </w:tblGrid>
      <w:tr w:rsidR="00014579" w:rsidRPr="00014579" w14:paraId="77D3BFA5" w14:textId="77777777" w:rsidTr="00AE0B73">
        <w:trPr>
          <w:trHeight w:val="20"/>
          <w:jc w:val="center"/>
        </w:trPr>
        <w:tc>
          <w:tcPr>
            <w:tcW w:w="1483" w:type="pct"/>
            <w:vAlign w:val="center"/>
          </w:tcPr>
          <w:p w14:paraId="4B201DBB" w14:textId="77777777" w:rsidR="00014579" w:rsidRPr="00014579" w:rsidRDefault="00014579" w:rsidP="00014579">
            <w:pPr>
              <w:spacing w:line="240" w:lineRule="auto"/>
              <w:ind w:firstLine="0"/>
              <w:jc w:val="center"/>
              <w:rPr>
                <w:rFonts w:eastAsia="Play"/>
              </w:rPr>
            </w:pPr>
          </w:p>
        </w:tc>
        <w:tc>
          <w:tcPr>
            <w:tcW w:w="1513" w:type="pct"/>
            <w:vAlign w:val="center"/>
          </w:tcPr>
          <w:p w14:paraId="2A2164E1" w14:textId="77777777" w:rsidR="00014579" w:rsidRPr="00014579" w:rsidRDefault="00014579" w:rsidP="00014579">
            <w:pPr>
              <w:spacing w:line="240" w:lineRule="auto"/>
              <w:ind w:firstLine="0"/>
              <w:jc w:val="center"/>
              <w:rPr>
                <w:rFonts w:eastAsia="Play"/>
                <w:b/>
                <w:bCs/>
              </w:rPr>
            </w:pPr>
            <w:r w:rsidRPr="00014579">
              <w:rPr>
                <w:rFonts w:eastAsia="Play"/>
                <w:b/>
                <w:bCs/>
              </w:rPr>
              <w:t>Before intervention</w:t>
            </w:r>
          </w:p>
          <w:p w14:paraId="37D67C05" w14:textId="4A6FE792" w:rsidR="00014579" w:rsidRPr="00014579" w:rsidRDefault="00014579" w:rsidP="00014579">
            <w:pPr>
              <w:spacing w:line="240" w:lineRule="auto"/>
              <w:ind w:firstLine="0"/>
              <w:jc w:val="center"/>
              <w:rPr>
                <w:rFonts w:eastAsia="Play"/>
                <w:i/>
                <w:lang w:val="de-DE"/>
              </w:rPr>
            </w:pPr>
            <w:r w:rsidRPr="00014579">
              <w:rPr>
                <w:rFonts w:eastAsia="Play"/>
                <w:b/>
                <w:bCs/>
              </w:rPr>
              <w:t>X̅ ± SD</w:t>
            </w:r>
          </w:p>
        </w:tc>
        <w:tc>
          <w:tcPr>
            <w:tcW w:w="1385" w:type="pct"/>
            <w:vAlign w:val="center"/>
          </w:tcPr>
          <w:p w14:paraId="3A60ACED" w14:textId="77777777" w:rsidR="00014579" w:rsidRPr="00014579" w:rsidRDefault="00014579" w:rsidP="00014579">
            <w:pPr>
              <w:spacing w:line="240" w:lineRule="auto"/>
              <w:ind w:firstLine="0"/>
              <w:jc w:val="center"/>
              <w:rPr>
                <w:rFonts w:eastAsia="Play"/>
                <w:b/>
                <w:bCs/>
              </w:rPr>
            </w:pPr>
            <w:r w:rsidRPr="00014579">
              <w:rPr>
                <w:rFonts w:eastAsia="Play"/>
                <w:b/>
                <w:bCs/>
              </w:rPr>
              <w:t>Seven days after the intervention.</w:t>
            </w:r>
          </w:p>
          <w:p w14:paraId="2F09C52D" w14:textId="344C6060" w:rsidR="00014579" w:rsidRPr="00014579" w:rsidRDefault="00014579" w:rsidP="00014579">
            <w:pPr>
              <w:spacing w:line="240" w:lineRule="auto"/>
              <w:ind w:firstLine="0"/>
              <w:jc w:val="center"/>
              <w:rPr>
                <w:rFonts w:eastAsia="Play"/>
                <w:i/>
                <w:lang w:val="de-DE"/>
              </w:rPr>
            </w:pPr>
            <w:r w:rsidRPr="00014579">
              <w:rPr>
                <w:rFonts w:eastAsia="Play"/>
                <w:b/>
                <w:bCs/>
              </w:rPr>
              <w:t>X̅ ± SD</w:t>
            </w:r>
          </w:p>
        </w:tc>
        <w:tc>
          <w:tcPr>
            <w:tcW w:w="619" w:type="pct"/>
            <w:vAlign w:val="center"/>
          </w:tcPr>
          <w:p w14:paraId="24DE1B8D" w14:textId="77777777" w:rsidR="00014579" w:rsidRPr="00014579" w:rsidRDefault="00014579" w:rsidP="00014579">
            <w:pPr>
              <w:spacing w:line="240" w:lineRule="auto"/>
              <w:ind w:firstLine="0"/>
              <w:jc w:val="center"/>
              <w:rPr>
                <w:rFonts w:eastAsia="Play"/>
                <w:b/>
                <w:bCs/>
              </w:rPr>
            </w:pPr>
            <w:r w:rsidRPr="00014579">
              <w:rPr>
                <w:rFonts w:eastAsia="Play"/>
                <w:b/>
                <w:bCs/>
              </w:rPr>
              <w:t>p</w:t>
            </w:r>
          </w:p>
        </w:tc>
      </w:tr>
      <w:tr w:rsidR="00014579" w:rsidRPr="00014579" w14:paraId="6F7D81C3" w14:textId="77777777" w:rsidTr="00AE0B73">
        <w:trPr>
          <w:trHeight w:val="20"/>
          <w:jc w:val="center"/>
        </w:trPr>
        <w:tc>
          <w:tcPr>
            <w:tcW w:w="1483" w:type="pct"/>
            <w:vAlign w:val="center"/>
          </w:tcPr>
          <w:p w14:paraId="116C0B77" w14:textId="77777777" w:rsidR="00014579" w:rsidRPr="00014579" w:rsidRDefault="00014579" w:rsidP="00014579">
            <w:pPr>
              <w:spacing w:line="240" w:lineRule="auto"/>
              <w:ind w:firstLine="0"/>
              <w:jc w:val="center"/>
              <w:rPr>
                <w:rFonts w:eastAsia="Play"/>
                <w:b/>
                <w:bCs/>
              </w:rPr>
            </w:pPr>
            <w:r w:rsidRPr="00014579">
              <w:rPr>
                <w:rFonts w:eastAsia="Play"/>
                <w:b/>
                <w:bCs/>
              </w:rPr>
              <w:t>Plasma OPG concentration (pg/ml)</w:t>
            </w:r>
          </w:p>
        </w:tc>
        <w:tc>
          <w:tcPr>
            <w:tcW w:w="1513" w:type="pct"/>
            <w:vAlign w:val="center"/>
          </w:tcPr>
          <w:p w14:paraId="790084B5" w14:textId="77777777" w:rsidR="00014579" w:rsidRPr="00014579" w:rsidRDefault="00014579" w:rsidP="00014579">
            <w:pPr>
              <w:spacing w:line="240" w:lineRule="auto"/>
              <w:ind w:firstLine="0"/>
              <w:jc w:val="center"/>
              <w:rPr>
                <w:rFonts w:eastAsia="Play"/>
              </w:rPr>
            </w:pPr>
            <w:r w:rsidRPr="00014579">
              <w:rPr>
                <w:rFonts w:eastAsia="Play"/>
              </w:rPr>
              <w:t xml:space="preserve">2323.63 </w:t>
            </w:r>
            <w:r w:rsidRPr="00014579">
              <w:rPr>
                <w:rFonts w:eastAsia="Play"/>
                <w:iCs/>
                <w:lang w:val="de-DE"/>
              </w:rPr>
              <w:t>± 700.02</w:t>
            </w:r>
          </w:p>
        </w:tc>
        <w:tc>
          <w:tcPr>
            <w:tcW w:w="1385" w:type="pct"/>
            <w:vAlign w:val="center"/>
          </w:tcPr>
          <w:p w14:paraId="23F0019A" w14:textId="3407F0B8" w:rsidR="00014579" w:rsidRPr="00014579" w:rsidRDefault="00014579" w:rsidP="00014579">
            <w:pPr>
              <w:spacing w:line="240" w:lineRule="auto"/>
              <w:ind w:firstLine="0"/>
              <w:jc w:val="center"/>
              <w:rPr>
                <w:rFonts w:eastAsia="Play"/>
              </w:rPr>
            </w:pPr>
            <w:r w:rsidRPr="00014579">
              <w:rPr>
                <w:rFonts w:eastAsia="Play"/>
              </w:rPr>
              <w:t xml:space="preserve">2339 </w:t>
            </w:r>
            <w:r w:rsidRPr="00014579">
              <w:rPr>
                <w:rFonts w:eastAsia="Play"/>
                <w:iCs/>
                <w:lang w:val="de-DE"/>
              </w:rPr>
              <w:t>± 698.74</w:t>
            </w:r>
          </w:p>
        </w:tc>
        <w:tc>
          <w:tcPr>
            <w:tcW w:w="619" w:type="pct"/>
            <w:vAlign w:val="center"/>
          </w:tcPr>
          <w:p w14:paraId="497A2F83" w14:textId="77777777" w:rsidR="00014579" w:rsidRPr="00014579" w:rsidRDefault="00014579" w:rsidP="00014579">
            <w:pPr>
              <w:spacing w:line="240" w:lineRule="auto"/>
              <w:ind w:firstLine="0"/>
              <w:jc w:val="center"/>
              <w:rPr>
                <w:rFonts w:eastAsia="Play"/>
              </w:rPr>
            </w:pPr>
            <w:r w:rsidRPr="00014579">
              <w:rPr>
                <w:rFonts w:eastAsia="Play"/>
              </w:rPr>
              <w:t>0.708</w:t>
            </w:r>
          </w:p>
        </w:tc>
      </w:tr>
    </w:tbl>
    <w:p w14:paraId="0E533C93" w14:textId="0A1F820F" w:rsidR="00014579" w:rsidRDefault="00014579" w:rsidP="00014579">
      <w:pPr>
        <w:spacing w:line="320" w:lineRule="exact"/>
        <w:ind w:firstLine="0"/>
        <w:rPr>
          <w:rFonts w:eastAsia="Play"/>
        </w:rPr>
      </w:pPr>
      <w:r>
        <w:rPr>
          <w:rFonts w:eastAsia="Play"/>
        </w:rPr>
        <w:tab/>
        <w:t>There was no difference in OPG concentrations before and 7 days after coronary intervention.</w:t>
      </w:r>
    </w:p>
    <w:p w14:paraId="5A7DDA90" w14:textId="11F15F60" w:rsidR="00014579" w:rsidRDefault="00014579" w:rsidP="00014579">
      <w:pPr>
        <w:spacing w:line="320" w:lineRule="exact"/>
        <w:ind w:firstLine="0"/>
        <w:jc w:val="center"/>
        <w:rPr>
          <w:rFonts w:eastAsia="Play"/>
        </w:rPr>
      </w:pPr>
      <w:r>
        <w:rPr>
          <w:rFonts w:eastAsia="Play"/>
        </w:rPr>
        <w:t>Table 3.3. Characteristics of MMP-2 concentrations before intervention</w:t>
      </w:r>
    </w:p>
    <w:tbl>
      <w:tblPr>
        <w:tblW w:w="5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574"/>
        <w:gridCol w:w="1560"/>
        <w:gridCol w:w="1562"/>
        <w:gridCol w:w="845"/>
      </w:tblGrid>
      <w:tr w:rsidR="00AE0B73" w:rsidRPr="007025A6" w14:paraId="2B5E075B" w14:textId="77777777" w:rsidTr="00AE0B73">
        <w:trPr>
          <w:jc w:val="center"/>
        </w:trPr>
        <w:tc>
          <w:tcPr>
            <w:tcW w:w="653" w:type="pct"/>
            <w:vAlign w:val="center"/>
          </w:tcPr>
          <w:p w14:paraId="16A3FEA0" w14:textId="77777777" w:rsidR="00014579" w:rsidRPr="007025A6" w:rsidRDefault="00014579" w:rsidP="008A4DB3">
            <w:pPr>
              <w:spacing w:line="340" w:lineRule="exact"/>
              <w:ind w:firstLine="0"/>
              <w:jc w:val="center"/>
              <w:rPr>
                <w:rFonts w:eastAsia="Play"/>
                <w:sz w:val="18"/>
                <w:szCs w:val="18"/>
              </w:rPr>
            </w:pPr>
          </w:p>
        </w:tc>
        <w:tc>
          <w:tcPr>
            <w:tcW w:w="1235" w:type="pct"/>
            <w:vAlign w:val="center"/>
          </w:tcPr>
          <w:p w14:paraId="2C6BF031" w14:textId="77777777" w:rsidR="00014579" w:rsidRPr="007025A6" w:rsidRDefault="00014579" w:rsidP="008A4DB3">
            <w:pPr>
              <w:spacing w:line="340" w:lineRule="exact"/>
              <w:ind w:firstLine="0"/>
              <w:jc w:val="center"/>
              <w:rPr>
                <w:rFonts w:eastAsia="Play"/>
                <w:b/>
                <w:bCs/>
                <w:sz w:val="18"/>
                <w:szCs w:val="18"/>
              </w:rPr>
            </w:pPr>
            <w:r>
              <w:rPr>
                <w:rFonts w:eastAsia="Play"/>
                <w:b/>
                <w:bCs/>
                <w:sz w:val="18"/>
                <w:szCs w:val="18"/>
              </w:rPr>
              <w:t>STEMI Group</w:t>
            </w:r>
          </w:p>
          <w:p w14:paraId="43EA6280" w14:textId="77777777" w:rsidR="00014579" w:rsidRPr="007025A6" w:rsidRDefault="00014579" w:rsidP="008A4DB3">
            <w:pPr>
              <w:spacing w:line="340" w:lineRule="exact"/>
              <w:ind w:firstLine="0"/>
              <w:jc w:val="center"/>
              <w:rPr>
                <w:rFonts w:eastAsia="Play"/>
                <w:b/>
                <w:bCs/>
                <w:sz w:val="18"/>
                <w:szCs w:val="18"/>
              </w:rPr>
            </w:pPr>
            <w:r w:rsidRPr="007025A6">
              <w:rPr>
                <w:rFonts w:eastAsia="Play"/>
                <w:b/>
                <w:bCs/>
                <w:sz w:val="18"/>
                <w:szCs w:val="18"/>
              </w:rPr>
              <w:t>(n = 117)</w:t>
            </w:r>
          </w:p>
        </w:tc>
        <w:tc>
          <w:tcPr>
            <w:tcW w:w="1224" w:type="pct"/>
            <w:vAlign w:val="center"/>
          </w:tcPr>
          <w:p w14:paraId="11D1B0C4" w14:textId="77777777" w:rsidR="00014579" w:rsidRPr="007025A6" w:rsidRDefault="00014579" w:rsidP="008A4DB3">
            <w:pPr>
              <w:spacing w:line="340" w:lineRule="exact"/>
              <w:ind w:firstLine="0"/>
              <w:jc w:val="center"/>
              <w:rPr>
                <w:rFonts w:eastAsia="Play"/>
                <w:b/>
                <w:bCs/>
                <w:sz w:val="18"/>
                <w:szCs w:val="18"/>
              </w:rPr>
            </w:pPr>
            <w:r>
              <w:rPr>
                <w:rFonts w:eastAsia="Play"/>
                <w:b/>
                <w:bCs/>
                <w:sz w:val="18"/>
                <w:szCs w:val="18"/>
              </w:rPr>
              <w:t>NSTEMI Group</w:t>
            </w:r>
          </w:p>
          <w:p w14:paraId="34770C58" w14:textId="09717F7E" w:rsidR="00014579" w:rsidRPr="007025A6" w:rsidRDefault="00014579" w:rsidP="008A4DB3">
            <w:pPr>
              <w:spacing w:line="340" w:lineRule="exact"/>
              <w:ind w:firstLine="0"/>
              <w:jc w:val="center"/>
              <w:rPr>
                <w:rFonts w:eastAsia="Play"/>
                <w:b/>
                <w:bCs/>
                <w:sz w:val="18"/>
                <w:szCs w:val="18"/>
              </w:rPr>
            </w:pPr>
            <w:r w:rsidRPr="007025A6">
              <w:rPr>
                <w:rFonts w:eastAsia="Play"/>
                <w:b/>
                <w:bCs/>
                <w:sz w:val="18"/>
                <w:szCs w:val="18"/>
              </w:rPr>
              <w:t>(n = 17)</w:t>
            </w:r>
          </w:p>
        </w:tc>
        <w:tc>
          <w:tcPr>
            <w:tcW w:w="1225" w:type="pct"/>
            <w:vAlign w:val="center"/>
          </w:tcPr>
          <w:p w14:paraId="56216E33" w14:textId="77777777" w:rsidR="00014579" w:rsidRPr="007025A6" w:rsidRDefault="00014579" w:rsidP="008A4DB3">
            <w:pPr>
              <w:spacing w:line="340" w:lineRule="exact"/>
              <w:ind w:right="-109" w:firstLine="0"/>
              <w:jc w:val="center"/>
              <w:rPr>
                <w:rFonts w:eastAsia="Play"/>
                <w:b/>
                <w:bCs/>
                <w:sz w:val="18"/>
                <w:szCs w:val="18"/>
              </w:rPr>
            </w:pPr>
            <w:r w:rsidRPr="007025A6">
              <w:rPr>
                <w:rFonts w:eastAsia="Play"/>
                <w:b/>
                <w:bCs/>
                <w:sz w:val="18"/>
                <w:szCs w:val="18"/>
              </w:rPr>
              <w:t>Control group</w:t>
            </w:r>
          </w:p>
          <w:p w14:paraId="5B8D7963" w14:textId="77777777" w:rsidR="00014579" w:rsidRPr="007025A6" w:rsidRDefault="00014579" w:rsidP="008A4DB3">
            <w:pPr>
              <w:spacing w:line="340" w:lineRule="exact"/>
              <w:ind w:firstLine="0"/>
              <w:jc w:val="center"/>
              <w:rPr>
                <w:rFonts w:eastAsia="Play"/>
                <w:b/>
                <w:bCs/>
                <w:sz w:val="18"/>
                <w:szCs w:val="18"/>
              </w:rPr>
            </w:pPr>
            <w:r w:rsidRPr="007025A6">
              <w:rPr>
                <w:rFonts w:eastAsia="Play"/>
                <w:b/>
                <w:bCs/>
                <w:sz w:val="18"/>
                <w:szCs w:val="18"/>
              </w:rPr>
              <w:t>(n = 50)</w:t>
            </w:r>
          </w:p>
        </w:tc>
        <w:tc>
          <w:tcPr>
            <w:tcW w:w="663" w:type="pct"/>
            <w:vAlign w:val="center"/>
          </w:tcPr>
          <w:p w14:paraId="5D76A327" w14:textId="77777777" w:rsidR="00014579" w:rsidRPr="007025A6" w:rsidRDefault="00014579" w:rsidP="008A4DB3">
            <w:pPr>
              <w:spacing w:line="340" w:lineRule="exact"/>
              <w:ind w:firstLine="0"/>
              <w:jc w:val="center"/>
              <w:rPr>
                <w:rFonts w:eastAsia="Play"/>
                <w:b/>
                <w:bCs/>
                <w:sz w:val="18"/>
                <w:szCs w:val="18"/>
              </w:rPr>
            </w:pPr>
            <w:r w:rsidRPr="007025A6">
              <w:rPr>
                <w:rFonts w:eastAsia="Play"/>
                <w:b/>
                <w:bCs/>
                <w:sz w:val="18"/>
                <w:szCs w:val="18"/>
              </w:rPr>
              <w:t>p</w:t>
            </w:r>
          </w:p>
        </w:tc>
      </w:tr>
      <w:tr w:rsidR="00AE0B73" w:rsidRPr="007025A6" w14:paraId="3B5D8ACE" w14:textId="77777777" w:rsidTr="00AE0B73">
        <w:trPr>
          <w:jc w:val="center"/>
        </w:trPr>
        <w:tc>
          <w:tcPr>
            <w:tcW w:w="653" w:type="pct"/>
            <w:vAlign w:val="center"/>
          </w:tcPr>
          <w:p w14:paraId="514CEF05" w14:textId="59483442" w:rsidR="00014579" w:rsidRPr="007025A6" w:rsidRDefault="00014579" w:rsidP="008A4DB3">
            <w:pPr>
              <w:spacing w:line="340" w:lineRule="exact"/>
              <w:ind w:firstLine="0"/>
              <w:jc w:val="center"/>
              <w:rPr>
                <w:rFonts w:eastAsia="Play"/>
                <w:i/>
                <w:sz w:val="18"/>
                <w:szCs w:val="18"/>
                <w:lang w:val="de-DE"/>
              </w:rPr>
            </w:pPr>
            <w:r w:rsidRPr="007025A6">
              <w:rPr>
                <w:rFonts w:eastAsia="Play"/>
                <w:sz w:val="18"/>
                <w:szCs w:val="18"/>
              </w:rPr>
              <w:t xml:space="preserve">X̅ ± SD </w:t>
            </w:r>
            <w:r w:rsidRPr="007025A6">
              <w:rPr>
                <w:rFonts w:eastAsia="Play"/>
                <w:i/>
                <w:sz w:val="18"/>
                <w:szCs w:val="18"/>
                <w:lang w:val="de-DE"/>
              </w:rPr>
              <w:t>(ng/ml)</w:t>
            </w:r>
          </w:p>
        </w:tc>
        <w:tc>
          <w:tcPr>
            <w:tcW w:w="1235" w:type="pct"/>
            <w:vAlign w:val="center"/>
          </w:tcPr>
          <w:p w14:paraId="0F7A7F2A" w14:textId="1ED64963" w:rsidR="00014579" w:rsidRPr="007025A6" w:rsidRDefault="00014579" w:rsidP="008A4DB3">
            <w:pPr>
              <w:spacing w:line="340" w:lineRule="exact"/>
              <w:ind w:firstLine="0"/>
              <w:jc w:val="center"/>
              <w:rPr>
                <w:rFonts w:eastAsia="Play"/>
                <w:iCs/>
                <w:sz w:val="18"/>
                <w:szCs w:val="18"/>
                <w:lang w:val="de-DE"/>
              </w:rPr>
            </w:pPr>
            <w:r>
              <w:rPr>
                <w:rFonts w:eastAsia="Play"/>
                <w:sz w:val="18"/>
                <w:szCs w:val="18"/>
              </w:rPr>
              <w:t xml:space="preserve">157.47 </w:t>
            </w:r>
            <w:r w:rsidRPr="007025A6">
              <w:rPr>
                <w:rFonts w:eastAsia="Play"/>
                <w:i/>
                <w:sz w:val="18"/>
                <w:szCs w:val="18"/>
                <w:lang w:val="de-DE"/>
              </w:rPr>
              <w:t xml:space="preserve">± </w:t>
            </w:r>
            <w:r>
              <w:rPr>
                <w:rFonts w:eastAsia="Play"/>
                <w:iCs/>
                <w:sz w:val="18"/>
                <w:szCs w:val="18"/>
                <w:lang w:val="de-DE"/>
              </w:rPr>
              <w:t>46.99</w:t>
            </w:r>
          </w:p>
        </w:tc>
        <w:tc>
          <w:tcPr>
            <w:tcW w:w="1224" w:type="pct"/>
            <w:vAlign w:val="center"/>
          </w:tcPr>
          <w:p w14:paraId="696D3AC2" w14:textId="3CE015C3" w:rsidR="00014579" w:rsidRPr="007025A6" w:rsidRDefault="00014579" w:rsidP="008A4DB3">
            <w:pPr>
              <w:spacing w:line="340" w:lineRule="exact"/>
              <w:ind w:firstLine="0"/>
              <w:jc w:val="center"/>
              <w:rPr>
                <w:rFonts w:eastAsia="Play"/>
                <w:iCs/>
                <w:sz w:val="18"/>
                <w:szCs w:val="18"/>
                <w:lang w:val="de-DE"/>
              </w:rPr>
            </w:pPr>
            <w:r>
              <w:rPr>
                <w:rFonts w:eastAsia="Play"/>
                <w:sz w:val="18"/>
                <w:szCs w:val="18"/>
              </w:rPr>
              <w:t xml:space="preserve">162.47 </w:t>
            </w:r>
            <w:r w:rsidRPr="007025A6">
              <w:rPr>
                <w:rFonts w:eastAsia="Play"/>
                <w:i/>
                <w:sz w:val="18"/>
                <w:szCs w:val="18"/>
                <w:lang w:val="de-DE"/>
              </w:rPr>
              <w:t xml:space="preserve">± </w:t>
            </w:r>
            <w:r>
              <w:rPr>
                <w:rFonts w:eastAsia="Play"/>
                <w:iCs/>
                <w:sz w:val="18"/>
                <w:szCs w:val="18"/>
                <w:lang w:val="de-DE"/>
              </w:rPr>
              <w:t>37.21</w:t>
            </w:r>
          </w:p>
        </w:tc>
        <w:tc>
          <w:tcPr>
            <w:tcW w:w="1225" w:type="pct"/>
            <w:vAlign w:val="center"/>
          </w:tcPr>
          <w:p w14:paraId="1E740FC7" w14:textId="58CC68EB" w:rsidR="00014579" w:rsidRPr="007025A6" w:rsidRDefault="00014579" w:rsidP="008A4DB3">
            <w:pPr>
              <w:spacing w:line="340" w:lineRule="exact"/>
              <w:ind w:firstLine="0"/>
              <w:jc w:val="center"/>
              <w:rPr>
                <w:rFonts w:eastAsia="Play"/>
                <w:iCs/>
                <w:sz w:val="18"/>
                <w:szCs w:val="18"/>
                <w:lang w:val="de-DE"/>
              </w:rPr>
            </w:pPr>
            <w:r w:rsidRPr="007025A6">
              <w:rPr>
                <w:rFonts w:eastAsia="Play"/>
                <w:sz w:val="18"/>
                <w:szCs w:val="18"/>
              </w:rPr>
              <w:t xml:space="preserve">142.55 </w:t>
            </w:r>
            <w:r w:rsidRPr="007025A6">
              <w:rPr>
                <w:rFonts w:eastAsia="Play"/>
                <w:i/>
                <w:sz w:val="18"/>
                <w:szCs w:val="18"/>
                <w:lang w:val="de-DE"/>
              </w:rPr>
              <w:t xml:space="preserve">± </w:t>
            </w:r>
            <w:r w:rsidRPr="007025A6">
              <w:rPr>
                <w:rFonts w:eastAsia="Play"/>
                <w:iCs/>
                <w:sz w:val="18"/>
                <w:szCs w:val="18"/>
                <w:lang w:val="de-DE"/>
              </w:rPr>
              <w:t>34.34</w:t>
            </w:r>
          </w:p>
        </w:tc>
        <w:tc>
          <w:tcPr>
            <w:tcW w:w="663" w:type="pct"/>
            <w:vAlign w:val="center"/>
          </w:tcPr>
          <w:p w14:paraId="658DFCF6" w14:textId="6ABD7E62" w:rsidR="00014579" w:rsidRPr="007025A6" w:rsidRDefault="00014579" w:rsidP="008A4DB3">
            <w:pPr>
              <w:spacing w:line="340" w:lineRule="exact"/>
              <w:ind w:firstLine="0"/>
              <w:jc w:val="center"/>
              <w:rPr>
                <w:rFonts w:eastAsia="Play"/>
                <w:sz w:val="18"/>
                <w:szCs w:val="18"/>
              </w:rPr>
            </w:pPr>
            <w:r w:rsidRPr="007025A6">
              <w:rPr>
                <w:rFonts w:eastAsia="Play"/>
                <w:sz w:val="18"/>
                <w:szCs w:val="18"/>
              </w:rPr>
              <w:t xml:space="preserve">0.675 </w:t>
            </w:r>
            <w:r w:rsidRPr="007025A6">
              <w:rPr>
                <w:rFonts w:eastAsia="Play"/>
                <w:sz w:val="18"/>
                <w:szCs w:val="18"/>
                <w:vertAlign w:val="superscript"/>
              </w:rPr>
              <w:t>*</w:t>
            </w:r>
          </w:p>
          <w:p w14:paraId="132E6800" w14:textId="7164E51D" w:rsidR="00014579" w:rsidRPr="007025A6" w:rsidRDefault="00014579" w:rsidP="008A4DB3">
            <w:pPr>
              <w:spacing w:line="340" w:lineRule="exact"/>
              <w:ind w:firstLine="0"/>
              <w:jc w:val="center"/>
              <w:rPr>
                <w:rFonts w:eastAsia="Play"/>
                <w:sz w:val="18"/>
                <w:szCs w:val="18"/>
              </w:rPr>
            </w:pPr>
            <w:r w:rsidRPr="007025A6">
              <w:rPr>
                <w:rFonts w:eastAsia="Play"/>
                <w:sz w:val="18"/>
                <w:szCs w:val="18"/>
              </w:rPr>
              <w:t xml:space="preserve">&lt; 0.05 </w:t>
            </w:r>
            <w:r w:rsidRPr="007025A6">
              <w:rPr>
                <w:rFonts w:eastAsia="Play"/>
                <w:sz w:val="18"/>
                <w:szCs w:val="18"/>
                <w:vertAlign w:val="superscript"/>
              </w:rPr>
              <w:t>#</w:t>
            </w:r>
          </w:p>
          <w:p w14:paraId="76587A6C" w14:textId="21A9CC04" w:rsidR="00014579" w:rsidRPr="007025A6" w:rsidRDefault="00014579" w:rsidP="008A4DB3">
            <w:pPr>
              <w:spacing w:line="340" w:lineRule="exact"/>
              <w:ind w:firstLine="0"/>
              <w:jc w:val="center"/>
              <w:rPr>
                <w:rFonts w:eastAsia="Play"/>
                <w:sz w:val="18"/>
                <w:szCs w:val="18"/>
              </w:rPr>
            </w:pPr>
            <w:r w:rsidRPr="007025A6">
              <w:rPr>
                <w:rFonts w:eastAsia="Play"/>
                <w:sz w:val="18"/>
                <w:szCs w:val="18"/>
              </w:rPr>
              <w:t xml:space="preserve">&lt; 0.05 </w:t>
            </w:r>
            <w:r w:rsidRPr="007025A6">
              <w:rPr>
                <w:rFonts w:eastAsia="Play"/>
                <w:sz w:val="18"/>
                <w:szCs w:val="18"/>
                <w:vertAlign w:val="superscript"/>
                <w:lang w:val="vi-VN"/>
              </w:rPr>
              <w:t>‡</w:t>
            </w:r>
          </w:p>
        </w:tc>
      </w:tr>
    </w:tbl>
    <w:p w14:paraId="692B623F" w14:textId="77777777" w:rsidR="00014579" w:rsidRDefault="00014579" w:rsidP="00AE0B73">
      <w:pPr>
        <w:spacing w:line="240" w:lineRule="auto"/>
        <w:ind w:firstLine="0"/>
        <w:rPr>
          <w:rFonts w:eastAsia="Play"/>
        </w:rPr>
      </w:pPr>
      <w:r w:rsidRPr="007025A6">
        <w:rPr>
          <w:rFonts w:eastAsia="Play"/>
        </w:rPr>
        <w:t>(Note: *: comparison between STEMI and NSTEMI groups. #: comparison between STEMI and control groups. ‡: comparison between NSTEMI and control groups.)</w:t>
      </w:r>
    </w:p>
    <w:p w14:paraId="7E814D5F" w14:textId="1B4243DE" w:rsidR="00014579" w:rsidRPr="00014579" w:rsidRDefault="00014579" w:rsidP="00014579">
      <w:pPr>
        <w:spacing w:line="320" w:lineRule="exact"/>
        <w:ind w:firstLine="0"/>
        <w:rPr>
          <w:rFonts w:eastAsia="Play"/>
        </w:rPr>
      </w:pPr>
      <w:r>
        <w:rPr>
          <w:rFonts w:eastAsia="Play"/>
        </w:rPr>
        <w:tab/>
      </w:r>
      <w:r w:rsidRPr="00014579">
        <w:rPr>
          <w:rFonts w:eastAsia="Play"/>
        </w:rPr>
        <w:t>MMP-2 levels upon admission were significantly higher in the acute myocardial infarction (AMI) group compared to the control group.</w:t>
      </w:r>
    </w:p>
    <w:p w14:paraId="1704FE93" w14:textId="7E814C54" w:rsidR="00014579" w:rsidRDefault="00014579" w:rsidP="00014579">
      <w:pPr>
        <w:spacing w:line="320" w:lineRule="exact"/>
        <w:ind w:firstLine="0"/>
        <w:jc w:val="center"/>
        <w:rPr>
          <w:rFonts w:eastAsia="Play"/>
        </w:rPr>
      </w:pPr>
      <w:r>
        <w:rPr>
          <w:rFonts w:eastAsia="Play"/>
        </w:rPr>
        <w:lastRenderedPageBreak/>
        <w:t>Table 3.4. Comparison of MMP-2 concentrations in the myocardial infarction group before and 7 days after intervention (n = 134)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859"/>
        <w:gridCol w:w="1701"/>
        <w:gridCol w:w="760"/>
      </w:tblGrid>
      <w:tr w:rsidR="00014579" w:rsidRPr="00014579" w14:paraId="7CAAF091" w14:textId="77777777" w:rsidTr="006C1C04">
        <w:trPr>
          <w:trHeight w:val="20"/>
          <w:jc w:val="center"/>
        </w:trPr>
        <w:tc>
          <w:tcPr>
            <w:tcW w:w="1822" w:type="dxa"/>
            <w:vAlign w:val="center"/>
          </w:tcPr>
          <w:p w14:paraId="35A71D80" w14:textId="77777777" w:rsidR="00014579" w:rsidRPr="00014579" w:rsidRDefault="00014579" w:rsidP="006C1C04">
            <w:pPr>
              <w:spacing w:line="240" w:lineRule="auto"/>
              <w:ind w:firstLine="0"/>
              <w:jc w:val="center"/>
              <w:rPr>
                <w:rFonts w:eastAsia="Play"/>
              </w:rPr>
            </w:pPr>
          </w:p>
        </w:tc>
        <w:tc>
          <w:tcPr>
            <w:tcW w:w="1859" w:type="dxa"/>
            <w:vAlign w:val="center"/>
          </w:tcPr>
          <w:p w14:paraId="67239801" w14:textId="77777777" w:rsidR="00014579" w:rsidRPr="00014579" w:rsidRDefault="00014579" w:rsidP="006C1C04">
            <w:pPr>
              <w:spacing w:line="240" w:lineRule="auto"/>
              <w:ind w:firstLine="0"/>
              <w:jc w:val="center"/>
              <w:rPr>
                <w:rFonts w:eastAsia="Play"/>
                <w:b/>
                <w:bCs/>
              </w:rPr>
            </w:pPr>
            <w:r w:rsidRPr="00014579">
              <w:rPr>
                <w:rFonts w:eastAsia="Play"/>
                <w:b/>
                <w:bCs/>
              </w:rPr>
              <w:t>Before intervention</w:t>
            </w:r>
          </w:p>
          <w:p w14:paraId="0C72B574" w14:textId="39D1CBC4" w:rsidR="00014579" w:rsidRPr="00014579" w:rsidRDefault="00014579" w:rsidP="006C1C04">
            <w:pPr>
              <w:spacing w:line="240" w:lineRule="auto"/>
              <w:ind w:firstLine="0"/>
              <w:jc w:val="center"/>
              <w:rPr>
                <w:rFonts w:eastAsia="Play"/>
                <w:i/>
                <w:lang w:val="de-DE"/>
              </w:rPr>
            </w:pPr>
            <w:r w:rsidRPr="00014579">
              <w:rPr>
                <w:rFonts w:eastAsia="Play"/>
                <w:b/>
                <w:bCs/>
              </w:rPr>
              <w:t>X̅ ± SD</w:t>
            </w:r>
          </w:p>
        </w:tc>
        <w:tc>
          <w:tcPr>
            <w:tcW w:w="1701" w:type="dxa"/>
            <w:vAlign w:val="center"/>
          </w:tcPr>
          <w:p w14:paraId="27A7EC59" w14:textId="77777777" w:rsidR="00014579" w:rsidRPr="00014579" w:rsidRDefault="00014579" w:rsidP="006C1C04">
            <w:pPr>
              <w:spacing w:line="240" w:lineRule="auto"/>
              <w:ind w:firstLine="0"/>
              <w:jc w:val="center"/>
              <w:rPr>
                <w:rFonts w:eastAsia="Play"/>
                <w:b/>
                <w:bCs/>
              </w:rPr>
            </w:pPr>
            <w:r w:rsidRPr="00014579">
              <w:rPr>
                <w:rFonts w:eastAsia="Play"/>
                <w:b/>
                <w:bCs/>
              </w:rPr>
              <w:t>Seven days after the intervention.</w:t>
            </w:r>
          </w:p>
          <w:p w14:paraId="03B4A93A" w14:textId="4D45C2A7" w:rsidR="00014579" w:rsidRPr="00014579" w:rsidRDefault="00014579" w:rsidP="006C1C04">
            <w:pPr>
              <w:spacing w:line="240" w:lineRule="auto"/>
              <w:ind w:firstLine="0"/>
              <w:jc w:val="center"/>
              <w:rPr>
                <w:rFonts w:eastAsia="Play"/>
                <w:i/>
                <w:lang w:val="de-DE"/>
              </w:rPr>
            </w:pPr>
            <w:r w:rsidRPr="00014579">
              <w:rPr>
                <w:rFonts w:eastAsia="Play"/>
                <w:b/>
                <w:bCs/>
              </w:rPr>
              <w:t>X̅ ± SD</w:t>
            </w:r>
          </w:p>
        </w:tc>
        <w:tc>
          <w:tcPr>
            <w:tcW w:w="760" w:type="dxa"/>
            <w:vAlign w:val="center"/>
          </w:tcPr>
          <w:p w14:paraId="44CCB790" w14:textId="77777777" w:rsidR="00014579" w:rsidRPr="00014579" w:rsidRDefault="00014579" w:rsidP="006C1C04">
            <w:pPr>
              <w:spacing w:line="240" w:lineRule="auto"/>
              <w:ind w:firstLine="0"/>
              <w:jc w:val="center"/>
              <w:rPr>
                <w:rFonts w:eastAsia="Play"/>
                <w:b/>
                <w:bCs/>
              </w:rPr>
            </w:pPr>
            <w:r w:rsidRPr="00014579">
              <w:rPr>
                <w:rFonts w:eastAsia="Play"/>
                <w:b/>
                <w:bCs/>
              </w:rPr>
              <w:t>p</w:t>
            </w:r>
          </w:p>
        </w:tc>
      </w:tr>
      <w:tr w:rsidR="00014579" w:rsidRPr="00014579" w14:paraId="2D28A20D" w14:textId="77777777" w:rsidTr="006C1C04">
        <w:trPr>
          <w:trHeight w:val="20"/>
          <w:jc w:val="center"/>
        </w:trPr>
        <w:tc>
          <w:tcPr>
            <w:tcW w:w="1822" w:type="dxa"/>
            <w:vAlign w:val="center"/>
          </w:tcPr>
          <w:p w14:paraId="44DBE209" w14:textId="03190845" w:rsidR="00014579" w:rsidRPr="00014579" w:rsidRDefault="00014579" w:rsidP="006C1C04">
            <w:pPr>
              <w:spacing w:line="240" w:lineRule="auto"/>
              <w:ind w:firstLine="0"/>
              <w:jc w:val="center"/>
              <w:rPr>
                <w:rFonts w:eastAsia="Play"/>
                <w:b/>
                <w:bCs/>
              </w:rPr>
            </w:pPr>
            <w:r w:rsidRPr="00014579">
              <w:rPr>
                <w:rFonts w:eastAsia="Play"/>
                <w:b/>
                <w:bCs/>
              </w:rPr>
              <w:t>Plasma MMP-2 concentration (ng/ml)</w:t>
            </w:r>
          </w:p>
        </w:tc>
        <w:tc>
          <w:tcPr>
            <w:tcW w:w="1859" w:type="dxa"/>
            <w:vAlign w:val="center"/>
          </w:tcPr>
          <w:p w14:paraId="427B5ABF" w14:textId="257EC6BA" w:rsidR="00014579" w:rsidRPr="00014579" w:rsidRDefault="00014579" w:rsidP="006C1C04">
            <w:pPr>
              <w:spacing w:line="240" w:lineRule="auto"/>
              <w:ind w:firstLine="0"/>
              <w:jc w:val="center"/>
              <w:rPr>
                <w:rFonts w:eastAsia="Play"/>
              </w:rPr>
            </w:pPr>
            <w:r>
              <w:rPr>
                <w:rFonts w:eastAsia="Play"/>
              </w:rPr>
              <w:t xml:space="preserve">158.10 </w:t>
            </w:r>
            <w:r w:rsidRPr="00014579">
              <w:rPr>
                <w:rFonts w:eastAsia="Play"/>
                <w:iCs/>
                <w:lang w:val="de-DE"/>
              </w:rPr>
              <w:t>± 45.77</w:t>
            </w:r>
          </w:p>
        </w:tc>
        <w:tc>
          <w:tcPr>
            <w:tcW w:w="1701" w:type="dxa"/>
            <w:vAlign w:val="center"/>
          </w:tcPr>
          <w:p w14:paraId="1155254F" w14:textId="20241038" w:rsidR="00014579" w:rsidRPr="00014579" w:rsidRDefault="00014579" w:rsidP="006C1C04">
            <w:pPr>
              <w:spacing w:line="240" w:lineRule="auto"/>
              <w:ind w:firstLine="0"/>
              <w:jc w:val="center"/>
              <w:rPr>
                <w:rFonts w:eastAsia="Play"/>
              </w:rPr>
            </w:pPr>
            <w:r>
              <w:rPr>
                <w:rFonts w:eastAsia="Play"/>
              </w:rPr>
              <w:t xml:space="preserve">155.43 </w:t>
            </w:r>
            <w:r w:rsidRPr="00014579">
              <w:rPr>
                <w:rFonts w:eastAsia="Play"/>
                <w:iCs/>
                <w:lang w:val="de-DE"/>
              </w:rPr>
              <w:t>± 46.79</w:t>
            </w:r>
          </w:p>
        </w:tc>
        <w:tc>
          <w:tcPr>
            <w:tcW w:w="760" w:type="dxa"/>
            <w:vAlign w:val="center"/>
          </w:tcPr>
          <w:p w14:paraId="0A850BF6" w14:textId="004D8F56" w:rsidR="00014579" w:rsidRPr="00014579" w:rsidRDefault="00014579" w:rsidP="006C1C04">
            <w:pPr>
              <w:spacing w:line="240" w:lineRule="auto"/>
              <w:ind w:firstLine="0"/>
              <w:jc w:val="center"/>
              <w:rPr>
                <w:rFonts w:eastAsia="Play"/>
              </w:rPr>
            </w:pPr>
            <w:r w:rsidRPr="00014579">
              <w:rPr>
                <w:rFonts w:eastAsia="Play"/>
              </w:rPr>
              <w:t>0.474</w:t>
            </w:r>
          </w:p>
        </w:tc>
      </w:tr>
    </w:tbl>
    <w:p w14:paraId="65ED77E8" w14:textId="725EF9CF" w:rsidR="00014579" w:rsidRDefault="00014579" w:rsidP="00014579">
      <w:pPr>
        <w:spacing w:line="320" w:lineRule="exact"/>
        <w:ind w:firstLine="0"/>
        <w:rPr>
          <w:rFonts w:eastAsia="Play"/>
        </w:rPr>
      </w:pPr>
      <w:r>
        <w:rPr>
          <w:rFonts w:eastAsia="Play"/>
        </w:rPr>
        <w:tab/>
      </w:r>
      <w:r w:rsidRPr="00014579">
        <w:rPr>
          <w:rFonts w:eastAsia="Play"/>
        </w:rPr>
        <w:t>There was no difference in MMP-2 concentrations before and 7 days after coronary intervention.</w:t>
      </w:r>
    </w:p>
    <w:p w14:paraId="30D4D169" w14:textId="77777777" w:rsidR="00AE0B73" w:rsidRDefault="00AE0B73" w:rsidP="00014579">
      <w:pPr>
        <w:spacing w:line="320" w:lineRule="exact"/>
        <w:ind w:firstLine="0"/>
        <w:rPr>
          <w:rFonts w:eastAsia="Play"/>
        </w:rPr>
      </w:pPr>
    </w:p>
    <w:p w14:paraId="13B0D668" w14:textId="77777777" w:rsidR="00AE0B73" w:rsidRDefault="00AE0B73" w:rsidP="00014579">
      <w:pPr>
        <w:spacing w:line="320" w:lineRule="exact"/>
        <w:ind w:firstLine="0"/>
        <w:rPr>
          <w:rFonts w:eastAsia="Play"/>
        </w:rPr>
      </w:pPr>
    </w:p>
    <w:p w14:paraId="4E503E60" w14:textId="5EB634C1" w:rsidR="00014579" w:rsidRDefault="00014579" w:rsidP="00014579">
      <w:pPr>
        <w:spacing w:line="320" w:lineRule="exact"/>
        <w:ind w:firstLine="0"/>
        <w:rPr>
          <w:rFonts w:eastAsia="Play"/>
          <w:b/>
          <w:bCs/>
          <w:i/>
          <w:iCs/>
        </w:rPr>
      </w:pPr>
      <w:r>
        <w:rPr>
          <w:rFonts w:eastAsia="Play"/>
          <w:b/>
          <w:bCs/>
          <w:i/>
          <w:iCs/>
        </w:rPr>
        <w:t>3.2.2. Changes in GLS and VAC before and after coronary artery intervention</w:t>
      </w:r>
    </w:p>
    <w:p w14:paraId="5AA44096" w14:textId="79AF43D0" w:rsidR="00014579" w:rsidRDefault="00014579" w:rsidP="00014579">
      <w:pPr>
        <w:spacing w:line="320" w:lineRule="exact"/>
        <w:ind w:firstLine="0"/>
        <w:rPr>
          <w:rFonts w:eastAsia="Play"/>
        </w:rPr>
      </w:pPr>
      <w:r w:rsidRPr="008B56D3">
        <w:rPr>
          <w:rFonts w:eastAsia="Play"/>
          <w:lang w:val="en-US"/>
        </w:rPr>
        <w:t xml:space="preserve">Figure 3.1. </w:t>
      </w:r>
      <w:r w:rsidRPr="000076D6">
        <w:rPr>
          <w:rFonts w:eastAsia="Play"/>
        </w:rPr>
        <w:t xml:space="preserve">Changes in E </w:t>
      </w:r>
      <w:r w:rsidRPr="000076D6">
        <w:rPr>
          <w:rFonts w:eastAsia="Play"/>
          <w:vertAlign w:val="subscript"/>
        </w:rPr>
        <w:t xml:space="preserve">a, </w:t>
      </w:r>
      <w:r w:rsidRPr="000076D6">
        <w:rPr>
          <w:rFonts w:eastAsia="Play"/>
        </w:rPr>
        <w:t xml:space="preserve">E </w:t>
      </w:r>
      <w:r w:rsidRPr="000076D6">
        <w:rPr>
          <w:rFonts w:eastAsia="Play"/>
          <w:vertAlign w:val="subscript"/>
        </w:rPr>
        <w:t xml:space="preserve">es </w:t>
      </w:r>
      <w:r w:rsidR="000076D6" w:rsidRPr="000076D6">
        <w:rPr>
          <w:rFonts w:eastAsia="Play"/>
        </w:rPr>
        <w:t>, VAC, GLS after coronary artery intervention.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2"/>
      </w:tblGrid>
      <w:tr w:rsidR="000076D6" w:rsidRPr="000076D6" w14:paraId="5CC96F4C" w14:textId="77777777" w:rsidTr="00AA7F9B">
        <w:trPr>
          <w:trHeight w:val="3599"/>
          <w:jc w:val="center"/>
        </w:trPr>
        <w:tc>
          <w:tcPr>
            <w:tcW w:w="6142" w:type="dxa"/>
            <w:vAlign w:val="center"/>
          </w:tcPr>
          <w:p w14:paraId="6521CD2F" w14:textId="67D0D95A" w:rsidR="000076D6" w:rsidRPr="000076D6" w:rsidRDefault="000076D6" w:rsidP="000076D6">
            <w:pPr>
              <w:spacing w:line="320" w:lineRule="exact"/>
              <w:ind w:firstLine="0"/>
              <w:rPr>
                <w:rFonts w:eastAsia="Play"/>
              </w:rPr>
            </w:pPr>
            <w:r>
              <w:rPr>
                <w:rFonts w:eastAsia="Play"/>
                <w:noProof/>
              </w:rPr>
              <w:drawing>
                <wp:anchor distT="0" distB="0" distL="114300" distR="114300" simplePos="0" relativeHeight="251676672" behindDoc="0" locked="0" layoutInCell="1" allowOverlap="1" wp14:anchorId="216D6419" wp14:editId="09D25075">
                  <wp:simplePos x="0" y="0"/>
                  <wp:positionH relativeFrom="column">
                    <wp:posOffset>-72390</wp:posOffset>
                  </wp:positionH>
                  <wp:positionV relativeFrom="paragraph">
                    <wp:posOffset>-2375535</wp:posOffset>
                  </wp:positionV>
                  <wp:extent cx="3906520" cy="2321560"/>
                  <wp:effectExtent l="133350" t="114300" r="151130" b="154940"/>
                  <wp:wrapSquare wrapText="bothSides"/>
                  <wp:docPr id="55998266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982664" name="Picture 559982664"/>
                          <pic:cNvPicPr/>
                        </pic:nvPicPr>
                        <pic:blipFill>
                          <a:blip r:embed="rId12">
                            <a:extLst>
                              <a:ext uri="{28A0092B-C50C-407E-A947-70E740481C1C}">
                                <a14:useLocalDpi xmlns:a14="http://schemas.microsoft.com/office/drawing/2010/main" val="0"/>
                              </a:ext>
                            </a:extLst>
                          </a:blip>
                          <a:stretch>
                            <a:fillRect/>
                          </a:stretch>
                        </pic:blipFill>
                        <pic:spPr>
                          <a:xfrm>
                            <a:off x="0" y="0"/>
                            <a:ext cx="3906520" cy="23215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0076D6">
              <w:rPr>
                <w:rFonts w:eastAsia="Play"/>
              </w:rPr>
              <w:t>GLS increased from admission to the 6th month after intervention. No change in VAC index was observed after coronary intervention.</w:t>
            </w:r>
          </w:p>
        </w:tc>
      </w:tr>
    </w:tbl>
    <w:p w14:paraId="40696A03" w14:textId="77777777" w:rsidR="00AA7F9B" w:rsidRDefault="000076D6" w:rsidP="00014579">
      <w:pPr>
        <w:spacing w:line="320" w:lineRule="exact"/>
        <w:ind w:firstLine="0"/>
        <w:rPr>
          <w:rFonts w:eastAsia="Play"/>
          <w:b/>
          <w:bCs/>
        </w:rPr>
      </w:pPr>
      <w:r>
        <w:rPr>
          <w:rFonts w:eastAsia="Play"/>
          <w:b/>
          <w:bCs/>
        </w:rPr>
        <w:lastRenderedPageBreak/>
        <w:t>3.3. The relationship between plasma OPG, MMP-2, VAC, and GLS concentrations and clinical, paraclinical characteristics and cardiovascular events in patients with acute myocardial infarction undergoing percutaneous coronary intervention.</w:t>
      </w:r>
    </w:p>
    <w:p w14:paraId="6E7366BD" w14:textId="77777777" w:rsidR="00AA7F9B" w:rsidRDefault="00AA7F9B" w:rsidP="00AA7F9B">
      <w:pPr>
        <w:spacing w:line="320" w:lineRule="exact"/>
        <w:ind w:firstLine="0"/>
        <w:jc w:val="center"/>
        <w:rPr>
          <w:rFonts w:eastAsia="Play"/>
        </w:rPr>
      </w:pPr>
      <w:r>
        <w:rPr>
          <w:rFonts w:eastAsia="Play"/>
        </w:rPr>
        <w:t>Table 3.5. Relationship between OPG concentration at admission and coronary artery lesion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005"/>
        <w:gridCol w:w="1984"/>
        <w:gridCol w:w="761"/>
      </w:tblGrid>
      <w:tr w:rsidR="00AA7F9B" w:rsidRPr="00AA7F9B" w14:paraId="718E899B" w14:textId="77777777" w:rsidTr="00AA7F9B">
        <w:trPr>
          <w:jc w:val="center"/>
        </w:trPr>
        <w:tc>
          <w:tcPr>
            <w:tcW w:w="1392" w:type="dxa"/>
            <w:vAlign w:val="center"/>
          </w:tcPr>
          <w:p w14:paraId="632E81BC" w14:textId="77777777" w:rsidR="00AA7F9B" w:rsidRPr="00AA7F9B" w:rsidRDefault="00AA7F9B" w:rsidP="00661ABC">
            <w:pPr>
              <w:spacing w:line="240" w:lineRule="auto"/>
              <w:ind w:firstLine="0"/>
              <w:jc w:val="center"/>
              <w:rPr>
                <w:rFonts w:eastAsia="Calibri"/>
              </w:rPr>
            </w:pPr>
            <w:r w:rsidRPr="00AA7F9B">
              <w:rPr>
                <w:b/>
                <w:bCs/>
              </w:rPr>
              <w:t>Evaluation index</w:t>
            </w:r>
          </w:p>
        </w:tc>
        <w:tc>
          <w:tcPr>
            <w:tcW w:w="2005" w:type="dxa"/>
            <w:vAlign w:val="center"/>
          </w:tcPr>
          <w:p w14:paraId="0A340322" w14:textId="77777777" w:rsidR="00AA7F9B" w:rsidRPr="00AA7F9B" w:rsidRDefault="00AA7F9B" w:rsidP="00661ABC">
            <w:pPr>
              <w:spacing w:line="240" w:lineRule="auto"/>
              <w:ind w:firstLine="0"/>
              <w:jc w:val="center"/>
              <w:rPr>
                <w:rFonts w:eastAsia="Calibri"/>
                <w:b/>
                <w:bCs/>
              </w:rPr>
            </w:pPr>
            <w:r w:rsidRPr="00AA7F9B">
              <w:rPr>
                <w:rFonts w:eastAsia="Calibri"/>
                <w:b/>
                <w:bCs/>
              </w:rPr>
              <w:t>Damage to one branch</w:t>
            </w:r>
          </w:p>
          <w:p w14:paraId="0868F02B" w14:textId="77777777" w:rsidR="00AA7F9B" w:rsidRPr="00AA7F9B" w:rsidRDefault="00AA7F9B" w:rsidP="00661ABC">
            <w:pPr>
              <w:spacing w:line="240" w:lineRule="auto"/>
              <w:ind w:firstLine="0"/>
              <w:jc w:val="center"/>
              <w:rPr>
                <w:rFonts w:eastAsia="Calibri"/>
                <w:b/>
                <w:bCs/>
              </w:rPr>
            </w:pPr>
            <w:r w:rsidRPr="00AA7F9B">
              <w:rPr>
                <w:rFonts w:eastAsia="Calibri"/>
                <w:b/>
                <w:bCs/>
              </w:rPr>
              <w:t>(n = 53)</w:t>
            </w:r>
          </w:p>
        </w:tc>
        <w:tc>
          <w:tcPr>
            <w:tcW w:w="1984" w:type="dxa"/>
            <w:vAlign w:val="center"/>
          </w:tcPr>
          <w:p w14:paraId="3CD259AB" w14:textId="77777777" w:rsidR="00AA7F9B" w:rsidRPr="00AA7F9B" w:rsidRDefault="00AA7F9B" w:rsidP="00661ABC">
            <w:pPr>
              <w:spacing w:line="240" w:lineRule="auto"/>
              <w:ind w:firstLine="0"/>
              <w:jc w:val="center"/>
              <w:rPr>
                <w:b/>
                <w:bCs/>
              </w:rPr>
            </w:pPr>
            <w:r w:rsidRPr="00AA7F9B">
              <w:rPr>
                <w:b/>
                <w:bCs/>
              </w:rPr>
              <w:t>Multibrachial lesions</w:t>
            </w:r>
          </w:p>
          <w:p w14:paraId="6CC6C9DD" w14:textId="77777777" w:rsidR="00AA7F9B" w:rsidRPr="00AA7F9B" w:rsidRDefault="00AA7F9B" w:rsidP="00661ABC">
            <w:pPr>
              <w:spacing w:line="240" w:lineRule="auto"/>
              <w:ind w:firstLine="0"/>
              <w:jc w:val="center"/>
              <w:rPr>
                <w:rFonts w:eastAsia="Calibri"/>
                <w:b/>
                <w:bCs/>
              </w:rPr>
            </w:pPr>
            <w:r w:rsidRPr="00AA7F9B">
              <w:rPr>
                <w:rFonts w:eastAsia="Calibri"/>
                <w:b/>
                <w:bCs/>
              </w:rPr>
              <w:t>(n = 82)</w:t>
            </w:r>
          </w:p>
        </w:tc>
        <w:tc>
          <w:tcPr>
            <w:tcW w:w="761" w:type="dxa"/>
            <w:vAlign w:val="center"/>
          </w:tcPr>
          <w:p w14:paraId="213B0DD6" w14:textId="77777777" w:rsidR="00AA7F9B" w:rsidRPr="00AA7F9B" w:rsidRDefault="00AA7F9B" w:rsidP="00661ABC">
            <w:pPr>
              <w:spacing w:line="240" w:lineRule="auto"/>
              <w:ind w:firstLine="0"/>
              <w:jc w:val="center"/>
              <w:rPr>
                <w:b/>
                <w:bCs/>
              </w:rPr>
            </w:pPr>
            <w:r w:rsidRPr="00AA7F9B">
              <w:rPr>
                <w:b/>
                <w:bCs/>
              </w:rPr>
              <w:t>p</w:t>
            </w:r>
          </w:p>
        </w:tc>
      </w:tr>
      <w:tr w:rsidR="00AA7F9B" w:rsidRPr="00AA7F9B" w14:paraId="3A865595" w14:textId="77777777" w:rsidTr="00AA7F9B">
        <w:trPr>
          <w:jc w:val="center"/>
        </w:trPr>
        <w:tc>
          <w:tcPr>
            <w:tcW w:w="1392" w:type="dxa"/>
            <w:vAlign w:val="center"/>
          </w:tcPr>
          <w:p w14:paraId="0441E85D" w14:textId="77777777" w:rsidR="00AA7F9B" w:rsidRPr="00AA7F9B" w:rsidRDefault="00AA7F9B" w:rsidP="00661ABC">
            <w:pPr>
              <w:spacing w:line="240" w:lineRule="auto"/>
              <w:ind w:firstLine="0"/>
              <w:jc w:val="center"/>
              <w:rPr>
                <w:rFonts w:eastAsia="Calibri"/>
              </w:rPr>
            </w:pPr>
            <w:r w:rsidRPr="00AA7F9B">
              <w:rPr>
                <w:rFonts w:eastAsia="Calibri"/>
              </w:rPr>
              <w:t>OPG (pg/ml)</w:t>
            </w:r>
          </w:p>
          <w:p w14:paraId="6F7BDE5F" w14:textId="3C59ECC9" w:rsidR="00AA7F9B" w:rsidRPr="00AA7F9B" w:rsidRDefault="00AA7F9B" w:rsidP="00661ABC">
            <w:pPr>
              <w:spacing w:line="240" w:lineRule="auto"/>
              <w:ind w:firstLine="0"/>
              <w:jc w:val="center"/>
              <w:rPr>
                <w:rFonts w:eastAsia="Calibri"/>
              </w:rPr>
            </w:pPr>
            <w:r w:rsidRPr="007025A6">
              <w:rPr>
                <w:rFonts w:eastAsia="Play"/>
              </w:rPr>
              <w:t>X̅ ± SD</w:t>
            </w:r>
          </w:p>
        </w:tc>
        <w:tc>
          <w:tcPr>
            <w:tcW w:w="2005" w:type="dxa"/>
            <w:vAlign w:val="center"/>
          </w:tcPr>
          <w:p w14:paraId="7E0ED141" w14:textId="77777777" w:rsidR="00AA7F9B" w:rsidRPr="00AA7F9B" w:rsidRDefault="00AA7F9B" w:rsidP="00661ABC">
            <w:pPr>
              <w:spacing w:line="240" w:lineRule="auto"/>
              <w:ind w:firstLine="0"/>
              <w:jc w:val="center"/>
              <w:rPr>
                <w:rFonts w:eastAsia="Calibri"/>
              </w:rPr>
            </w:pPr>
            <w:r w:rsidRPr="00AA7F9B">
              <w:rPr>
                <w:rFonts w:eastAsia="Calibri"/>
              </w:rPr>
              <w:t xml:space="preserve">2127.53 </w:t>
            </w:r>
            <w:r w:rsidRPr="00AA7F9B">
              <w:rPr>
                <w:rFonts w:eastAsia="Calibri"/>
                <w:iCs/>
                <w:color w:val="000000"/>
                <w:lang w:val="de-DE"/>
              </w:rPr>
              <w:t>± 664.49</w:t>
            </w:r>
          </w:p>
        </w:tc>
        <w:tc>
          <w:tcPr>
            <w:tcW w:w="1984" w:type="dxa"/>
            <w:vAlign w:val="center"/>
          </w:tcPr>
          <w:p w14:paraId="197E9670" w14:textId="77777777" w:rsidR="00AA7F9B" w:rsidRPr="00AA7F9B" w:rsidRDefault="00AA7F9B" w:rsidP="00661ABC">
            <w:pPr>
              <w:spacing w:line="240" w:lineRule="auto"/>
              <w:ind w:firstLine="0"/>
              <w:jc w:val="center"/>
              <w:rPr>
                <w:rFonts w:eastAsia="Calibri"/>
              </w:rPr>
            </w:pPr>
            <w:r w:rsidRPr="00AA7F9B">
              <w:rPr>
                <w:rFonts w:eastAsia="Calibri"/>
              </w:rPr>
              <w:t xml:space="preserve">2450.37 </w:t>
            </w:r>
            <w:r w:rsidRPr="00AA7F9B">
              <w:rPr>
                <w:rFonts w:eastAsia="Calibri"/>
                <w:iCs/>
                <w:color w:val="000000"/>
                <w:lang w:val="de-DE"/>
              </w:rPr>
              <w:t>± 696.99</w:t>
            </w:r>
          </w:p>
        </w:tc>
        <w:tc>
          <w:tcPr>
            <w:tcW w:w="761" w:type="dxa"/>
            <w:vAlign w:val="center"/>
          </w:tcPr>
          <w:p w14:paraId="285E08DA" w14:textId="77777777" w:rsidR="00AA7F9B" w:rsidRPr="00AA7F9B" w:rsidRDefault="00AA7F9B" w:rsidP="00661ABC">
            <w:pPr>
              <w:spacing w:line="240" w:lineRule="auto"/>
              <w:ind w:firstLine="0"/>
              <w:jc w:val="center"/>
              <w:rPr>
                <w:rFonts w:eastAsia="Calibri"/>
              </w:rPr>
            </w:pPr>
            <w:r w:rsidRPr="00AA7F9B">
              <w:rPr>
                <w:rFonts w:eastAsia="Calibri"/>
              </w:rPr>
              <w:t>0.008</w:t>
            </w:r>
          </w:p>
        </w:tc>
      </w:tr>
    </w:tbl>
    <w:p w14:paraId="78B1E6B9" w14:textId="18B2705D" w:rsidR="000076D6" w:rsidRDefault="000076D6" w:rsidP="00014579">
      <w:pPr>
        <w:spacing w:line="320" w:lineRule="exact"/>
        <w:ind w:firstLine="0"/>
        <w:rPr>
          <w:rFonts w:eastAsia="Play"/>
        </w:rPr>
      </w:pPr>
      <w:r w:rsidRPr="00AA7F9B">
        <w:rPr>
          <w:rFonts w:eastAsia="Play"/>
        </w:rPr>
        <w:tab/>
      </w:r>
      <w:r w:rsidR="00AA7F9B" w:rsidRPr="00AA7F9B">
        <w:rPr>
          <w:rFonts w:eastAsia="Play"/>
        </w:rPr>
        <w:t>Patients with multi-vessel coronary artery lesions had significantly higher OPG levels upon admission compared to the group with single-vessel coronary artery lesions (p &lt; 0.05).</w:t>
      </w:r>
    </w:p>
    <w:p w14:paraId="5EB7402B" w14:textId="51E4DD75" w:rsidR="00AA7F9B" w:rsidRDefault="00483EC5" w:rsidP="00483EC5">
      <w:pPr>
        <w:spacing w:line="320" w:lineRule="exact"/>
        <w:ind w:firstLine="0"/>
        <w:jc w:val="center"/>
        <w:rPr>
          <w:rFonts w:eastAsia="Play"/>
        </w:rPr>
      </w:pPr>
      <w:r>
        <w:rPr>
          <w:rFonts w:eastAsia="Play"/>
          <w:noProof/>
        </w:rPr>
        <w:drawing>
          <wp:anchor distT="0" distB="0" distL="114300" distR="114300" simplePos="0" relativeHeight="251677696" behindDoc="0" locked="0" layoutInCell="1" allowOverlap="1" wp14:anchorId="2C71D34F" wp14:editId="4A47573D">
            <wp:simplePos x="0" y="0"/>
            <wp:positionH relativeFrom="margin">
              <wp:align>right</wp:align>
            </wp:positionH>
            <wp:positionV relativeFrom="paragraph">
              <wp:posOffset>448310</wp:posOffset>
            </wp:positionV>
            <wp:extent cx="3905885" cy="1627505"/>
            <wp:effectExtent l="0" t="0" r="0" b="0"/>
            <wp:wrapSquare wrapText="bothSides"/>
            <wp:docPr id="152032119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3022" cy="1634943"/>
                    </a:xfrm>
                    <a:prstGeom prst="rect">
                      <a:avLst/>
                    </a:prstGeom>
                    <a:noFill/>
                  </pic:spPr>
                </pic:pic>
              </a:graphicData>
            </a:graphic>
            <wp14:sizeRelV relativeFrom="margin">
              <wp14:pctHeight>0</wp14:pctHeight>
            </wp14:sizeRelV>
          </wp:anchor>
        </w:drawing>
      </w:r>
      <w:r w:rsidR="00AA7F9B">
        <w:rPr>
          <w:rFonts w:eastAsia="Play"/>
        </w:rPr>
        <w:t>Figure 3.2. ROC curve showing the relationship between OPG concentration at admission and multi-vessel coronary artery lesions.</w:t>
      </w:r>
    </w:p>
    <w:p w14:paraId="72B081B5" w14:textId="2F930290" w:rsidR="000076D6" w:rsidRDefault="00483EC5" w:rsidP="00014579">
      <w:pPr>
        <w:spacing w:line="320" w:lineRule="exact"/>
        <w:ind w:firstLine="0"/>
        <w:rPr>
          <w:rFonts w:eastAsia="Play"/>
        </w:rPr>
      </w:pPr>
      <w:r>
        <w:rPr>
          <w:rFonts w:eastAsia="Play"/>
        </w:rPr>
        <w:tab/>
      </w:r>
      <w:r w:rsidRPr="00483EC5">
        <w:rPr>
          <w:rFonts w:eastAsia="Play"/>
        </w:rPr>
        <w:t>Opg levels upon admission were able to differentiate multi-vessel coronary artery lesions with an AUC of 0.634.</w:t>
      </w:r>
    </w:p>
    <w:p w14:paraId="1FF94EFD" w14:textId="6B07ED3D" w:rsidR="00483EC5" w:rsidRDefault="00483EC5" w:rsidP="00014579">
      <w:pPr>
        <w:spacing w:line="320" w:lineRule="exact"/>
        <w:ind w:firstLine="0"/>
        <w:rPr>
          <w:rFonts w:eastAsia="Play"/>
        </w:rPr>
      </w:pPr>
      <w:r>
        <w:rPr>
          <w:rFonts w:eastAsia="Play"/>
        </w:rPr>
        <w:t>Table 3.6. Relationship between OPG concentration and multi-vessel coronary artery lesions.</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28"/>
        <w:gridCol w:w="1024"/>
        <w:gridCol w:w="1145"/>
        <w:gridCol w:w="1157"/>
        <w:gridCol w:w="711"/>
      </w:tblGrid>
      <w:tr w:rsidR="00483EC5" w:rsidRPr="00483EC5" w14:paraId="0C1B1AFF" w14:textId="77777777" w:rsidTr="00483EC5">
        <w:trPr>
          <w:trHeight w:val="20"/>
          <w:jc w:val="center"/>
        </w:trPr>
        <w:tc>
          <w:tcPr>
            <w:tcW w:w="725" w:type="pct"/>
            <w:vAlign w:val="center"/>
          </w:tcPr>
          <w:p w14:paraId="6043E3E2"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Index</w:t>
            </w:r>
          </w:p>
        </w:tc>
        <w:tc>
          <w:tcPr>
            <w:tcW w:w="1323" w:type="pct"/>
            <w:vAlign w:val="center"/>
          </w:tcPr>
          <w:p w14:paraId="278A4160"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AUC (95% CI)</w:t>
            </w:r>
          </w:p>
        </w:tc>
        <w:tc>
          <w:tcPr>
            <w:tcW w:w="841" w:type="pct"/>
            <w:vAlign w:val="center"/>
          </w:tcPr>
          <w:p w14:paraId="7DFAC568"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lang w:val="vi-VN"/>
              </w:rPr>
              <w:t xml:space="preserve">Crossing </w:t>
            </w:r>
            <w:r w:rsidRPr="00483EC5">
              <w:rPr>
                <w:rFonts w:eastAsia="Calibri"/>
                <w:b/>
                <w:bCs/>
                <w:i/>
                <w:iCs/>
                <w:color w:val="000000"/>
                <w:shd w:val="clear" w:color="auto" w:fill="auto"/>
              </w:rPr>
              <w:t>point​</w:t>
            </w:r>
          </w:p>
        </w:tc>
        <w:tc>
          <w:tcPr>
            <w:tcW w:w="761" w:type="pct"/>
            <w:vAlign w:val="center"/>
          </w:tcPr>
          <w:p w14:paraId="18741634"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Sensitivity (%)</w:t>
            </w:r>
          </w:p>
        </w:tc>
        <w:tc>
          <w:tcPr>
            <w:tcW w:w="761" w:type="pct"/>
            <w:vAlign w:val="center"/>
          </w:tcPr>
          <w:p w14:paraId="38848043"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Specificity (%)</w:t>
            </w:r>
          </w:p>
        </w:tc>
        <w:tc>
          <w:tcPr>
            <w:tcW w:w="588" w:type="pct"/>
            <w:vAlign w:val="center"/>
          </w:tcPr>
          <w:p w14:paraId="4E396D18"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p</w:t>
            </w:r>
          </w:p>
        </w:tc>
      </w:tr>
      <w:tr w:rsidR="00483EC5" w:rsidRPr="00483EC5" w14:paraId="5A874A73" w14:textId="77777777" w:rsidTr="00483EC5">
        <w:trPr>
          <w:trHeight w:val="20"/>
          <w:jc w:val="center"/>
        </w:trPr>
        <w:tc>
          <w:tcPr>
            <w:tcW w:w="725" w:type="pct"/>
            <w:vAlign w:val="center"/>
          </w:tcPr>
          <w:p w14:paraId="06E763FC" w14:textId="4271AA78"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OPG (pg/ml)</w:t>
            </w:r>
          </w:p>
        </w:tc>
        <w:tc>
          <w:tcPr>
            <w:tcW w:w="1323" w:type="pct"/>
            <w:vAlign w:val="center"/>
          </w:tcPr>
          <w:p w14:paraId="75F368A0"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0.634</w:t>
            </w:r>
          </w:p>
          <w:p w14:paraId="1601B72A"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lastRenderedPageBreak/>
              <w:t>(0.54 – 0.73)</w:t>
            </w:r>
          </w:p>
        </w:tc>
        <w:tc>
          <w:tcPr>
            <w:tcW w:w="841" w:type="pct"/>
            <w:vAlign w:val="center"/>
          </w:tcPr>
          <w:p w14:paraId="5ADC959B"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lastRenderedPageBreak/>
              <w:t>2283.85</w:t>
            </w:r>
          </w:p>
        </w:tc>
        <w:tc>
          <w:tcPr>
            <w:tcW w:w="761" w:type="pct"/>
            <w:vAlign w:val="center"/>
          </w:tcPr>
          <w:p w14:paraId="5B6442DC"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61</w:t>
            </w:r>
          </w:p>
        </w:tc>
        <w:tc>
          <w:tcPr>
            <w:tcW w:w="761" w:type="pct"/>
            <w:vAlign w:val="center"/>
          </w:tcPr>
          <w:p w14:paraId="3065CCD0"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67.9</w:t>
            </w:r>
          </w:p>
        </w:tc>
        <w:tc>
          <w:tcPr>
            <w:tcW w:w="588" w:type="pct"/>
            <w:vAlign w:val="center"/>
          </w:tcPr>
          <w:p w14:paraId="4C6F07B3" w14:textId="77777777" w:rsidR="00483EC5" w:rsidRPr="00483EC5" w:rsidRDefault="00483EC5" w:rsidP="00661ABC">
            <w:pPr>
              <w:spacing w:line="240" w:lineRule="exact"/>
              <w:ind w:firstLine="0"/>
              <w:jc w:val="center"/>
              <w:rPr>
                <w:rFonts w:eastAsia="Calibri"/>
                <w:b/>
                <w:bCs/>
                <w:color w:val="000000"/>
                <w:shd w:val="clear" w:color="auto" w:fill="auto"/>
              </w:rPr>
            </w:pPr>
            <w:r w:rsidRPr="00483EC5">
              <w:rPr>
                <w:rFonts w:eastAsia="Calibri"/>
                <w:b/>
                <w:bCs/>
                <w:color w:val="000000"/>
                <w:shd w:val="clear" w:color="auto" w:fill="auto"/>
              </w:rPr>
              <w:t>0.009</w:t>
            </w:r>
          </w:p>
        </w:tc>
      </w:tr>
    </w:tbl>
    <w:p w14:paraId="6E3D7228" w14:textId="650B2904" w:rsidR="00483EC5" w:rsidRDefault="00483EC5" w:rsidP="00014579">
      <w:pPr>
        <w:spacing w:line="320" w:lineRule="exact"/>
        <w:ind w:firstLine="0"/>
        <w:rPr>
          <w:rFonts w:eastAsia="Play"/>
        </w:rPr>
      </w:pPr>
      <w:r>
        <w:rPr>
          <w:rFonts w:eastAsia="Play"/>
        </w:rPr>
        <w:tab/>
      </w:r>
      <w:r w:rsidRPr="00483EC5">
        <w:rPr>
          <w:rFonts w:eastAsia="Play"/>
        </w:rPr>
        <w:t>At the OPG cutoff point of 2283.85 pg/ml (sensitivity 61%, specificity 67.9%), it is significant in predicting multi-vessel coronary artery lesions.</w:t>
      </w:r>
    </w:p>
    <w:p w14:paraId="6D610FEC" w14:textId="711F9681" w:rsidR="000076D6" w:rsidRDefault="00483EC5" w:rsidP="00661ABC">
      <w:pPr>
        <w:pStyle w:val="abang"/>
        <w:spacing w:line="340" w:lineRule="exact"/>
        <w:rPr>
          <w:rFonts w:eastAsia="Play"/>
          <w:b w:val="0"/>
        </w:rPr>
      </w:pPr>
      <w:r w:rsidRPr="00483EC5">
        <w:rPr>
          <w:rFonts w:eastAsia="Play"/>
          <w:b w:val="0"/>
        </w:rPr>
        <w:t>Table 3.7. Relationship between MMP-2 concentrations at admission and LVEF and VAC</w:t>
      </w:r>
    </w:p>
    <w:tbl>
      <w:tblPr>
        <w:tblStyle w:val="TableGrid"/>
        <w:tblW w:w="0" w:type="auto"/>
        <w:tblLook w:val="04A0" w:firstRow="1" w:lastRow="0" w:firstColumn="1" w:lastColumn="0" w:noHBand="0" w:noVBand="1"/>
      </w:tblPr>
      <w:tblGrid>
        <w:gridCol w:w="1129"/>
        <w:gridCol w:w="1701"/>
        <w:gridCol w:w="2601"/>
        <w:gridCol w:w="711"/>
      </w:tblGrid>
      <w:tr w:rsidR="00483EC5" w:rsidRPr="00483EC5" w14:paraId="21877863" w14:textId="77777777" w:rsidTr="00661ABC">
        <w:tc>
          <w:tcPr>
            <w:tcW w:w="2830" w:type="dxa"/>
            <w:gridSpan w:val="2"/>
            <w:vAlign w:val="center"/>
          </w:tcPr>
          <w:p w14:paraId="1DCE03F6" w14:textId="77777777" w:rsidR="00483EC5" w:rsidRPr="00483EC5" w:rsidRDefault="00483EC5" w:rsidP="00661ABC">
            <w:pPr>
              <w:pStyle w:val="abang"/>
              <w:rPr>
                <w:rFonts w:eastAsia="Play"/>
              </w:rPr>
            </w:pPr>
            <w:r w:rsidRPr="00483EC5">
              <w:rPr>
                <w:rFonts w:eastAsia="Play"/>
              </w:rPr>
              <w:t>Evaluation index</w:t>
            </w:r>
          </w:p>
        </w:tc>
        <w:tc>
          <w:tcPr>
            <w:tcW w:w="2601" w:type="dxa"/>
            <w:vAlign w:val="center"/>
          </w:tcPr>
          <w:p w14:paraId="037AC777" w14:textId="7A756876" w:rsidR="00483EC5" w:rsidRPr="00483EC5" w:rsidRDefault="00483EC5" w:rsidP="00661ABC">
            <w:pPr>
              <w:pStyle w:val="abang"/>
              <w:rPr>
                <w:rFonts w:eastAsia="Play"/>
              </w:rPr>
            </w:pPr>
            <w:r w:rsidRPr="00483EC5">
              <w:rPr>
                <w:rFonts w:eastAsia="Play"/>
              </w:rPr>
              <w:t>MMP-2 concentration (ng/ml)</w:t>
            </w:r>
          </w:p>
          <w:p w14:paraId="1842E491" w14:textId="64B35F3D" w:rsidR="00483EC5" w:rsidRPr="00483EC5" w:rsidRDefault="00483EC5" w:rsidP="00661ABC">
            <w:pPr>
              <w:pStyle w:val="abang"/>
              <w:rPr>
                <w:rFonts w:eastAsia="Play"/>
              </w:rPr>
            </w:pPr>
            <w:r w:rsidRPr="00483EC5">
              <w:rPr>
                <w:rFonts w:eastAsia="Play"/>
              </w:rPr>
              <w:t>X̅ ± SD</w:t>
            </w:r>
          </w:p>
        </w:tc>
        <w:tc>
          <w:tcPr>
            <w:tcW w:w="711" w:type="dxa"/>
            <w:vAlign w:val="center"/>
          </w:tcPr>
          <w:p w14:paraId="59475B54" w14:textId="77777777" w:rsidR="00483EC5" w:rsidRPr="00483EC5" w:rsidRDefault="00483EC5" w:rsidP="00661ABC">
            <w:pPr>
              <w:pStyle w:val="abang"/>
              <w:rPr>
                <w:rFonts w:eastAsia="Play"/>
              </w:rPr>
            </w:pPr>
            <w:r w:rsidRPr="00483EC5">
              <w:rPr>
                <w:rFonts w:eastAsia="Play"/>
              </w:rPr>
              <w:t>p</w:t>
            </w:r>
          </w:p>
        </w:tc>
      </w:tr>
      <w:tr w:rsidR="00483EC5" w:rsidRPr="00483EC5" w14:paraId="470A41D3" w14:textId="77777777" w:rsidTr="00661ABC">
        <w:trPr>
          <w:trHeight w:val="20"/>
        </w:trPr>
        <w:tc>
          <w:tcPr>
            <w:tcW w:w="1129" w:type="dxa"/>
            <w:vMerge w:val="restart"/>
            <w:vAlign w:val="center"/>
          </w:tcPr>
          <w:p w14:paraId="33D552E2" w14:textId="77777777" w:rsidR="00661ABC" w:rsidRDefault="00483EC5" w:rsidP="00661ABC">
            <w:pPr>
              <w:pStyle w:val="abang"/>
              <w:rPr>
                <w:rFonts w:eastAsia="Play"/>
                <w:b w:val="0"/>
                <w:bCs w:val="0"/>
              </w:rPr>
            </w:pPr>
            <w:r w:rsidRPr="00483EC5">
              <w:rPr>
                <w:rFonts w:eastAsia="Play"/>
                <w:b w:val="0"/>
                <w:bCs w:val="0"/>
              </w:rPr>
              <w:t>LVEF</w:t>
            </w:r>
          </w:p>
          <w:p w14:paraId="652243C1" w14:textId="3270FE37" w:rsidR="00483EC5" w:rsidRPr="00483EC5" w:rsidRDefault="00483EC5" w:rsidP="00661ABC">
            <w:pPr>
              <w:pStyle w:val="abang"/>
              <w:rPr>
                <w:rFonts w:eastAsia="Play"/>
                <w:b w:val="0"/>
                <w:bCs w:val="0"/>
              </w:rPr>
            </w:pPr>
            <w:r w:rsidRPr="00483EC5">
              <w:rPr>
                <w:rFonts w:eastAsia="Play"/>
                <w:b w:val="0"/>
                <w:bCs w:val="0"/>
              </w:rPr>
              <w:t>(Bi-plane)</w:t>
            </w:r>
          </w:p>
        </w:tc>
        <w:tc>
          <w:tcPr>
            <w:tcW w:w="1701" w:type="dxa"/>
            <w:vAlign w:val="center"/>
          </w:tcPr>
          <w:p w14:paraId="6E8E427D" w14:textId="77777777" w:rsidR="00483EC5" w:rsidRPr="00483EC5" w:rsidRDefault="00483EC5" w:rsidP="00661ABC">
            <w:pPr>
              <w:pStyle w:val="abang"/>
              <w:rPr>
                <w:rFonts w:eastAsia="Play"/>
                <w:b w:val="0"/>
                <w:bCs w:val="0"/>
              </w:rPr>
            </w:pPr>
            <w:r w:rsidRPr="00483EC5">
              <w:rPr>
                <w:rFonts w:eastAsia="Play"/>
                <w:b w:val="0"/>
                <w:bCs w:val="0"/>
              </w:rPr>
              <w:t>&gt; 35% (n = 111)</w:t>
            </w:r>
          </w:p>
        </w:tc>
        <w:tc>
          <w:tcPr>
            <w:tcW w:w="2601" w:type="dxa"/>
            <w:vAlign w:val="center"/>
          </w:tcPr>
          <w:p w14:paraId="6299AD85" w14:textId="77777777" w:rsidR="00483EC5" w:rsidRPr="00483EC5" w:rsidRDefault="00483EC5" w:rsidP="00661ABC">
            <w:pPr>
              <w:pStyle w:val="abang"/>
              <w:rPr>
                <w:rFonts w:eastAsia="Play"/>
                <w:b w:val="0"/>
                <w:bCs w:val="0"/>
              </w:rPr>
            </w:pPr>
            <w:r w:rsidRPr="00483EC5">
              <w:rPr>
                <w:rFonts w:eastAsia="Play"/>
                <w:b w:val="0"/>
                <w:bCs w:val="0"/>
              </w:rPr>
              <w:t>152.00 ± 40.79</w:t>
            </w:r>
          </w:p>
        </w:tc>
        <w:tc>
          <w:tcPr>
            <w:tcW w:w="711" w:type="dxa"/>
            <w:vMerge w:val="restart"/>
            <w:vAlign w:val="center"/>
          </w:tcPr>
          <w:p w14:paraId="3CA2A7C0" w14:textId="77777777" w:rsidR="00483EC5" w:rsidRPr="00483EC5" w:rsidRDefault="00483EC5" w:rsidP="00661ABC">
            <w:pPr>
              <w:pStyle w:val="abang"/>
              <w:rPr>
                <w:rFonts w:eastAsia="Play"/>
                <w:vertAlign w:val="superscript"/>
              </w:rPr>
            </w:pPr>
            <w:r w:rsidRPr="00483EC5">
              <w:rPr>
                <w:rFonts w:eastAsia="Play"/>
              </w:rPr>
              <w:t>0.008</w:t>
            </w:r>
          </w:p>
        </w:tc>
      </w:tr>
      <w:tr w:rsidR="00483EC5" w:rsidRPr="00483EC5" w14:paraId="238F52BF" w14:textId="77777777" w:rsidTr="00661ABC">
        <w:trPr>
          <w:trHeight w:val="20"/>
        </w:trPr>
        <w:tc>
          <w:tcPr>
            <w:tcW w:w="1129" w:type="dxa"/>
            <w:vMerge/>
            <w:vAlign w:val="center"/>
          </w:tcPr>
          <w:p w14:paraId="6F8C03A8" w14:textId="77777777" w:rsidR="00483EC5" w:rsidRPr="00483EC5" w:rsidRDefault="00483EC5" w:rsidP="00661ABC">
            <w:pPr>
              <w:pStyle w:val="abang"/>
              <w:rPr>
                <w:rFonts w:eastAsia="Play"/>
              </w:rPr>
            </w:pPr>
          </w:p>
        </w:tc>
        <w:tc>
          <w:tcPr>
            <w:tcW w:w="1701" w:type="dxa"/>
            <w:vAlign w:val="center"/>
          </w:tcPr>
          <w:p w14:paraId="69753339" w14:textId="77777777" w:rsidR="00483EC5" w:rsidRPr="00483EC5" w:rsidRDefault="00483EC5" w:rsidP="00661ABC">
            <w:pPr>
              <w:pStyle w:val="abang"/>
              <w:rPr>
                <w:rFonts w:eastAsia="Play"/>
                <w:b w:val="0"/>
                <w:bCs w:val="0"/>
              </w:rPr>
            </w:pPr>
            <w:r w:rsidRPr="00483EC5">
              <w:rPr>
                <w:rFonts w:eastAsia="Play"/>
                <w:b w:val="0"/>
                <w:bCs w:val="0"/>
              </w:rPr>
              <w:t>≤ 35% (n = 23)</w:t>
            </w:r>
          </w:p>
        </w:tc>
        <w:tc>
          <w:tcPr>
            <w:tcW w:w="2601" w:type="dxa"/>
            <w:vAlign w:val="center"/>
          </w:tcPr>
          <w:p w14:paraId="503B00D3" w14:textId="77777777" w:rsidR="00483EC5" w:rsidRPr="00483EC5" w:rsidRDefault="00483EC5" w:rsidP="00661ABC">
            <w:pPr>
              <w:pStyle w:val="abang"/>
              <w:rPr>
                <w:rFonts w:eastAsia="Play"/>
                <w:b w:val="0"/>
                <w:bCs w:val="0"/>
              </w:rPr>
            </w:pPr>
            <w:r w:rsidRPr="00483EC5">
              <w:rPr>
                <w:rFonts w:eastAsia="Play"/>
                <w:b w:val="0"/>
                <w:bCs w:val="0"/>
              </w:rPr>
              <w:t>187.55 ± 57.00</w:t>
            </w:r>
          </w:p>
        </w:tc>
        <w:tc>
          <w:tcPr>
            <w:tcW w:w="711" w:type="dxa"/>
            <w:vMerge/>
            <w:vAlign w:val="center"/>
          </w:tcPr>
          <w:p w14:paraId="029B86CF" w14:textId="77777777" w:rsidR="00483EC5" w:rsidRPr="00483EC5" w:rsidRDefault="00483EC5" w:rsidP="00661ABC">
            <w:pPr>
              <w:pStyle w:val="abang"/>
              <w:rPr>
                <w:rFonts w:eastAsia="Play"/>
              </w:rPr>
            </w:pPr>
          </w:p>
        </w:tc>
      </w:tr>
      <w:tr w:rsidR="00661ABC" w:rsidRPr="00483EC5" w14:paraId="10C4B64A" w14:textId="77777777" w:rsidTr="00661ABC">
        <w:trPr>
          <w:trHeight w:val="20"/>
        </w:trPr>
        <w:tc>
          <w:tcPr>
            <w:tcW w:w="1129" w:type="dxa"/>
            <w:vMerge w:val="restart"/>
            <w:vAlign w:val="center"/>
          </w:tcPr>
          <w:p w14:paraId="7AFE6282" w14:textId="1D334679" w:rsidR="00661ABC" w:rsidRPr="00661ABC" w:rsidRDefault="00661ABC" w:rsidP="00661ABC">
            <w:pPr>
              <w:pStyle w:val="abang"/>
              <w:rPr>
                <w:rFonts w:eastAsia="Play"/>
                <w:b w:val="0"/>
                <w:bCs w:val="0"/>
              </w:rPr>
            </w:pPr>
            <w:r>
              <w:rPr>
                <w:rFonts w:eastAsia="Play"/>
                <w:b w:val="0"/>
                <w:bCs w:val="0"/>
              </w:rPr>
              <w:t>VAC</w:t>
            </w:r>
          </w:p>
        </w:tc>
        <w:tc>
          <w:tcPr>
            <w:tcW w:w="1701" w:type="dxa"/>
            <w:vAlign w:val="center"/>
          </w:tcPr>
          <w:p w14:paraId="0C160386" w14:textId="2D6EADA4" w:rsidR="00661ABC" w:rsidRPr="00483EC5" w:rsidRDefault="00661ABC" w:rsidP="00661ABC">
            <w:pPr>
              <w:pStyle w:val="abang"/>
              <w:rPr>
                <w:rFonts w:eastAsia="Play"/>
                <w:b w:val="0"/>
                <w:bCs w:val="0"/>
              </w:rPr>
            </w:pPr>
            <w:r>
              <w:rPr>
                <w:rFonts w:eastAsia="Play"/>
                <w:b w:val="0"/>
                <w:bCs w:val="0"/>
              </w:rPr>
              <w:t>&gt; 1 (n = 13)</w:t>
            </w:r>
          </w:p>
        </w:tc>
        <w:tc>
          <w:tcPr>
            <w:tcW w:w="2601" w:type="dxa"/>
          </w:tcPr>
          <w:p w14:paraId="4391ED8B" w14:textId="39D1145A" w:rsidR="00661ABC" w:rsidRPr="00661ABC" w:rsidRDefault="00661ABC" w:rsidP="00661ABC">
            <w:pPr>
              <w:pStyle w:val="abang"/>
              <w:rPr>
                <w:rFonts w:eastAsia="Play"/>
                <w:b w:val="0"/>
                <w:bCs w:val="0"/>
              </w:rPr>
            </w:pPr>
            <w:r w:rsidRPr="00661ABC">
              <w:rPr>
                <w:b w:val="0"/>
                <w:bCs w:val="0"/>
              </w:rPr>
              <w:t>188.16 ± 55.70</w:t>
            </w:r>
          </w:p>
        </w:tc>
        <w:tc>
          <w:tcPr>
            <w:tcW w:w="711" w:type="dxa"/>
            <w:vMerge w:val="restart"/>
            <w:vAlign w:val="center"/>
          </w:tcPr>
          <w:p w14:paraId="5052BA5F" w14:textId="598DDD55" w:rsidR="00661ABC" w:rsidRPr="00483EC5" w:rsidRDefault="00661ABC" w:rsidP="00661ABC">
            <w:pPr>
              <w:pStyle w:val="abang"/>
              <w:rPr>
                <w:rFonts w:eastAsia="Play"/>
              </w:rPr>
            </w:pPr>
            <w:r>
              <w:rPr>
                <w:rFonts w:eastAsia="Play"/>
              </w:rPr>
              <w:t>0.012</w:t>
            </w:r>
          </w:p>
        </w:tc>
      </w:tr>
      <w:tr w:rsidR="00661ABC" w:rsidRPr="00483EC5" w14:paraId="392A890C" w14:textId="77777777" w:rsidTr="00661ABC">
        <w:trPr>
          <w:trHeight w:val="20"/>
        </w:trPr>
        <w:tc>
          <w:tcPr>
            <w:tcW w:w="1129" w:type="dxa"/>
            <w:vMerge/>
            <w:vAlign w:val="center"/>
          </w:tcPr>
          <w:p w14:paraId="308684ED" w14:textId="77777777" w:rsidR="00661ABC" w:rsidRPr="00483EC5" w:rsidRDefault="00661ABC" w:rsidP="00661ABC">
            <w:pPr>
              <w:pStyle w:val="abang"/>
              <w:rPr>
                <w:rFonts w:eastAsia="Play"/>
              </w:rPr>
            </w:pPr>
          </w:p>
        </w:tc>
        <w:tc>
          <w:tcPr>
            <w:tcW w:w="1701" w:type="dxa"/>
            <w:vAlign w:val="center"/>
          </w:tcPr>
          <w:p w14:paraId="33A635C4" w14:textId="3DD43C20" w:rsidR="00661ABC" w:rsidRPr="00483EC5" w:rsidRDefault="00661ABC" w:rsidP="00661ABC">
            <w:pPr>
              <w:pStyle w:val="abang"/>
              <w:rPr>
                <w:rFonts w:eastAsia="Play"/>
                <w:b w:val="0"/>
                <w:bCs w:val="0"/>
              </w:rPr>
            </w:pPr>
            <w:r>
              <w:rPr>
                <w:rFonts w:eastAsia="Play"/>
                <w:b w:val="0"/>
                <w:bCs w:val="0"/>
              </w:rPr>
              <w:t>≤ 1 (n = 121)</w:t>
            </w:r>
          </w:p>
        </w:tc>
        <w:tc>
          <w:tcPr>
            <w:tcW w:w="2601" w:type="dxa"/>
          </w:tcPr>
          <w:p w14:paraId="0A69667D" w14:textId="2506901F" w:rsidR="00661ABC" w:rsidRPr="00661ABC" w:rsidRDefault="00661ABC" w:rsidP="00661ABC">
            <w:pPr>
              <w:pStyle w:val="abang"/>
              <w:rPr>
                <w:rFonts w:eastAsia="Play"/>
                <w:b w:val="0"/>
                <w:bCs w:val="0"/>
              </w:rPr>
            </w:pPr>
            <w:r w:rsidRPr="00661ABC">
              <w:rPr>
                <w:b w:val="0"/>
                <w:bCs w:val="0"/>
              </w:rPr>
              <w:t>154.87 ± 43.62</w:t>
            </w:r>
          </w:p>
        </w:tc>
        <w:tc>
          <w:tcPr>
            <w:tcW w:w="711" w:type="dxa"/>
            <w:vMerge/>
            <w:vAlign w:val="center"/>
          </w:tcPr>
          <w:p w14:paraId="088D8B6D" w14:textId="77777777" w:rsidR="00661ABC" w:rsidRPr="00483EC5" w:rsidRDefault="00661ABC" w:rsidP="00661ABC">
            <w:pPr>
              <w:pStyle w:val="abang"/>
              <w:rPr>
                <w:rFonts w:eastAsia="Play"/>
              </w:rPr>
            </w:pPr>
          </w:p>
        </w:tc>
      </w:tr>
    </w:tbl>
    <w:p w14:paraId="4CC7B3C6" w14:textId="3F9FDACD" w:rsidR="00483EC5" w:rsidRDefault="00661ABC" w:rsidP="00C25BE7">
      <w:pPr>
        <w:pStyle w:val="abang"/>
        <w:spacing w:line="340" w:lineRule="exact"/>
        <w:jc w:val="both"/>
        <w:rPr>
          <w:rFonts w:eastAsia="Play"/>
          <w:b w:val="0"/>
          <w:bCs w:val="0"/>
        </w:rPr>
      </w:pPr>
      <w:r>
        <w:rPr>
          <w:rFonts w:eastAsia="Play"/>
          <w:b w:val="0"/>
        </w:rPr>
        <w:tab/>
      </w:r>
      <w:r w:rsidRPr="00661ABC">
        <w:rPr>
          <w:rFonts w:eastAsia="Play"/>
          <w:b w:val="0"/>
        </w:rPr>
        <w:t xml:space="preserve">Plasma MMP-2 concentrations upon admission were significantly higher in the LVEF ≤ 35% group compared to the LVEF &gt; 35% group; and higher in the VAC &gt; 1 group compared to the VAC </w:t>
      </w:r>
      <w:r>
        <w:rPr>
          <w:rFonts w:eastAsia="Play"/>
          <w:b w:val="0"/>
          <w:bCs w:val="0"/>
        </w:rPr>
        <w:t>≤ 1 group.</w:t>
      </w:r>
    </w:p>
    <w:p w14:paraId="174CCCAE" w14:textId="5FEF5128" w:rsidR="00661ABC" w:rsidRDefault="00661ABC" w:rsidP="00661ABC">
      <w:pPr>
        <w:pStyle w:val="abang"/>
        <w:spacing w:line="340" w:lineRule="exact"/>
        <w:rPr>
          <w:rFonts w:eastAsia="Play"/>
          <w:b w:val="0"/>
        </w:rPr>
      </w:pPr>
      <w:r>
        <w:rPr>
          <w:rFonts w:eastAsia="Play"/>
          <w:b w:val="0"/>
        </w:rPr>
        <w:t>Figure 3.3. ROC curve predicting heart failure status at discharge for VAC, GLS, and NT-proBNP patients.</w:t>
      </w:r>
    </w:p>
    <w:p w14:paraId="13131B47" w14:textId="7B0944B1" w:rsidR="00661ABC" w:rsidRPr="00483EC5" w:rsidRDefault="00661ABC" w:rsidP="00C25BE7">
      <w:pPr>
        <w:pStyle w:val="abang"/>
        <w:spacing w:line="340" w:lineRule="exact"/>
        <w:jc w:val="both"/>
        <w:rPr>
          <w:rFonts w:eastAsia="Play"/>
          <w:b w:val="0"/>
        </w:rPr>
      </w:pPr>
      <w:r>
        <w:rPr>
          <w:rFonts w:eastAsia="Play"/>
          <w:b w:val="0"/>
          <w:noProof/>
        </w:rPr>
        <w:drawing>
          <wp:anchor distT="0" distB="0" distL="0" distR="0" simplePos="0" relativeHeight="251678720" behindDoc="1" locked="0" layoutInCell="1" allowOverlap="1" wp14:anchorId="75F875E0" wp14:editId="76D5A2B2">
            <wp:simplePos x="0" y="0"/>
            <wp:positionH relativeFrom="margin">
              <wp:align>center</wp:align>
            </wp:positionH>
            <wp:positionV relativeFrom="paragraph">
              <wp:posOffset>63847</wp:posOffset>
            </wp:positionV>
            <wp:extent cx="3054350" cy="1932305"/>
            <wp:effectExtent l="0" t="0" r="0" b="0"/>
            <wp:wrapSquare wrapText="bothSides"/>
            <wp:docPr id="16464017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7094" cy="1934445"/>
                    </a:xfrm>
                    <a:prstGeom prst="rect">
                      <a:avLst/>
                    </a:prstGeom>
                    <a:noFill/>
                  </pic:spPr>
                </pic:pic>
              </a:graphicData>
            </a:graphic>
            <wp14:sizeRelH relativeFrom="margin">
              <wp14:pctWidth>0</wp14:pctWidth>
            </wp14:sizeRelH>
            <wp14:sizeRelV relativeFrom="margin">
              <wp14:pctHeight>0</wp14:pctHeight>
            </wp14:sizeRelV>
          </wp:anchor>
        </w:drawing>
      </w:r>
    </w:p>
    <w:p w14:paraId="6104B18C" w14:textId="5667BDA5" w:rsidR="000076D6" w:rsidRPr="00483EC5" w:rsidRDefault="000076D6" w:rsidP="00C25BE7">
      <w:pPr>
        <w:pStyle w:val="abang"/>
        <w:spacing w:line="340" w:lineRule="exact"/>
        <w:jc w:val="both"/>
        <w:rPr>
          <w:rFonts w:eastAsia="Play"/>
          <w:bCs w:val="0"/>
        </w:rPr>
      </w:pPr>
    </w:p>
    <w:p w14:paraId="30482A8D" w14:textId="223E44DE" w:rsidR="000076D6" w:rsidRPr="00483EC5" w:rsidRDefault="000076D6" w:rsidP="00C25BE7">
      <w:pPr>
        <w:pStyle w:val="abang"/>
        <w:spacing w:line="340" w:lineRule="exact"/>
        <w:jc w:val="both"/>
        <w:rPr>
          <w:rFonts w:eastAsia="Play"/>
          <w:bCs w:val="0"/>
        </w:rPr>
      </w:pPr>
    </w:p>
    <w:p w14:paraId="05F2D065" w14:textId="7FD20542" w:rsidR="000076D6" w:rsidRPr="00483EC5" w:rsidRDefault="000076D6" w:rsidP="00C25BE7">
      <w:pPr>
        <w:pStyle w:val="abang"/>
        <w:spacing w:line="340" w:lineRule="exact"/>
        <w:jc w:val="both"/>
        <w:rPr>
          <w:rFonts w:eastAsia="Play"/>
          <w:bCs w:val="0"/>
        </w:rPr>
      </w:pPr>
    </w:p>
    <w:p w14:paraId="365163F9" w14:textId="5AAA1F21" w:rsidR="000076D6" w:rsidRPr="00483EC5" w:rsidRDefault="000076D6" w:rsidP="00C25BE7">
      <w:pPr>
        <w:pStyle w:val="abang"/>
        <w:spacing w:line="340" w:lineRule="exact"/>
        <w:jc w:val="both"/>
        <w:rPr>
          <w:rFonts w:eastAsia="Play"/>
          <w:bCs w:val="0"/>
        </w:rPr>
      </w:pPr>
    </w:p>
    <w:p w14:paraId="071B1754" w14:textId="474B6F2B" w:rsidR="000076D6" w:rsidRPr="00483EC5" w:rsidRDefault="000076D6" w:rsidP="00C25BE7">
      <w:pPr>
        <w:pStyle w:val="abang"/>
        <w:spacing w:line="340" w:lineRule="exact"/>
        <w:jc w:val="both"/>
        <w:rPr>
          <w:rFonts w:eastAsia="Play"/>
          <w:bCs w:val="0"/>
        </w:rPr>
      </w:pPr>
    </w:p>
    <w:p w14:paraId="7280EA0B" w14:textId="1C646B96" w:rsidR="000076D6" w:rsidRPr="00483EC5" w:rsidRDefault="000076D6" w:rsidP="00C25BE7">
      <w:pPr>
        <w:pStyle w:val="abang"/>
        <w:spacing w:line="340" w:lineRule="exact"/>
        <w:jc w:val="both"/>
        <w:rPr>
          <w:rFonts w:eastAsia="Play"/>
          <w:bCs w:val="0"/>
        </w:rPr>
      </w:pPr>
    </w:p>
    <w:p w14:paraId="469FB74A" w14:textId="35CC91B2" w:rsidR="000076D6" w:rsidRPr="00483EC5" w:rsidRDefault="000076D6" w:rsidP="00C25BE7">
      <w:pPr>
        <w:pStyle w:val="abang"/>
        <w:spacing w:line="340" w:lineRule="exact"/>
        <w:jc w:val="both"/>
        <w:rPr>
          <w:rFonts w:eastAsia="Play"/>
          <w:bCs w:val="0"/>
        </w:rPr>
      </w:pPr>
    </w:p>
    <w:p w14:paraId="691BB16F" w14:textId="5D1BD5BC" w:rsidR="000076D6" w:rsidRPr="00483EC5" w:rsidRDefault="000076D6" w:rsidP="00C25BE7">
      <w:pPr>
        <w:pStyle w:val="abang"/>
        <w:spacing w:line="340" w:lineRule="exact"/>
        <w:jc w:val="both"/>
        <w:rPr>
          <w:rFonts w:eastAsia="Play"/>
          <w:bCs w:val="0"/>
        </w:rPr>
      </w:pPr>
    </w:p>
    <w:p w14:paraId="69C87E5A" w14:textId="77777777" w:rsidR="008A4DB3" w:rsidRDefault="008A4DB3" w:rsidP="00C25BE7">
      <w:pPr>
        <w:pStyle w:val="abang"/>
        <w:spacing w:line="340" w:lineRule="exact"/>
        <w:jc w:val="both"/>
        <w:rPr>
          <w:rFonts w:eastAsia="Play"/>
          <w:b w:val="0"/>
        </w:rPr>
      </w:pPr>
    </w:p>
    <w:p w14:paraId="2B327D67" w14:textId="7CC9EE50" w:rsidR="000076D6" w:rsidRPr="00661ABC" w:rsidRDefault="00661ABC" w:rsidP="00C25BE7">
      <w:pPr>
        <w:pStyle w:val="abang"/>
        <w:spacing w:line="340" w:lineRule="exact"/>
        <w:jc w:val="both"/>
        <w:rPr>
          <w:rFonts w:eastAsia="Play"/>
          <w:b w:val="0"/>
        </w:rPr>
      </w:pPr>
      <w:r w:rsidRPr="00661ABC">
        <w:rPr>
          <w:rFonts w:eastAsia="Play"/>
          <w:b w:val="0"/>
        </w:rPr>
        <w:lastRenderedPageBreak/>
        <w:t>GLS at admission (AUC 0.88) was a better predictor of heart failure status at discharge than VAC (AUC 0.76) and NT-proBNP (AUC 0.72).</w:t>
      </w:r>
    </w:p>
    <w:p w14:paraId="1660765B" w14:textId="7EAEB58A" w:rsidR="000076D6" w:rsidRPr="00661ABC" w:rsidRDefault="00661ABC" w:rsidP="00661ABC">
      <w:pPr>
        <w:pStyle w:val="abang"/>
        <w:spacing w:line="340" w:lineRule="exact"/>
        <w:rPr>
          <w:rFonts w:eastAsia="Play"/>
          <w:b w:val="0"/>
        </w:rPr>
      </w:pPr>
      <w:r w:rsidRPr="00661ABC">
        <w:rPr>
          <w:rFonts w:eastAsia="Play"/>
          <w:b w:val="0"/>
        </w:rPr>
        <w:t>Table 3.8. Relationship between VAC, GLS, NT-proBNP and heart failure status at discharge.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105"/>
        <w:gridCol w:w="1024"/>
        <w:gridCol w:w="1145"/>
        <w:gridCol w:w="1157"/>
        <w:gridCol w:w="711"/>
      </w:tblGrid>
      <w:tr w:rsidR="00661ABC" w:rsidRPr="00661ABC" w14:paraId="5B38EA5F" w14:textId="77777777" w:rsidTr="007964BA">
        <w:trPr>
          <w:trHeight w:val="57"/>
          <w:jc w:val="center"/>
        </w:trPr>
        <w:tc>
          <w:tcPr>
            <w:tcW w:w="1177" w:type="pct"/>
            <w:vAlign w:val="center"/>
          </w:tcPr>
          <w:p w14:paraId="6507ED3A"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Index</w:t>
            </w:r>
          </w:p>
          <w:p w14:paraId="7C24ABD9" w14:textId="77777777" w:rsidR="00661ABC" w:rsidRPr="00661ABC" w:rsidRDefault="00661ABC" w:rsidP="00661ABC">
            <w:pPr>
              <w:spacing w:line="240" w:lineRule="auto"/>
              <w:ind w:firstLine="0"/>
              <w:jc w:val="center"/>
              <w:rPr>
                <w:rFonts w:eastAsia="Calibri"/>
                <w:b/>
                <w:bCs/>
                <w:i/>
                <w:iCs/>
                <w:color w:val="000000"/>
                <w:shd w:val="clear" w:color="auto" w:fill="auto"/>
              </w:rPr>
            </w:pPr>
          </w:p>
        </w:tc>
        <w:tc>
          <w:tcPr>
            <w:tcW w:w="1262" w:type="pct"/>
            <w:vAlign w:val="center"/>
          </w:tcPr>
          <w:p w14:paraId="79348D58" w14:textId="77777777" w:rsidR="008A4DB3"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AUC</w:t>
            </w:r>
          </w:p>
          <w:p w14:paraId="25E1A59C" w14:textId="55A01438"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(95% CI)</w:t>
            </w:r>
          </w:p>
        </w:tc>
        <w:tc>
          <w:tcPr>
            <w:tcW w:w="644" w:type="pct"/>
            <w:vAlign w:val="center"/>
          </w:tcPr>
          <w:p w14:paraId="5C9B1C39"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lang w:val="vi-VN"/>
              </w:rPr>
              <w:t xml:space="preserve">Crossing </w:t>
            </w:r>
            <w:r w:rsidRPr="00661ABC">
              <w:rPr>
                <w:rFonts w:eastAsia="Calibri"/>
                <w:b/>
                <w:bCs/>
                <w:i/>
                <w:iCs/>
                <w:color w:val="000000"/>
                <w:shd w:val="clear" w:color="auto" w:fill="auto"/>
              </w:rPr>
              <w:t>point​</w:t>
            </w:r>
          </w:p>
        </w:tc>
        <w:tc>
          <w:tcPr>
            <w:tcW w:w="662" w:type="pct"/>
            <w:vAlign w:val="center"/>
          </w:tcPr>
          <w:p w14:paraId="4596ACA5"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Sensitivity (%)</w:t>
            </w:r>
          </w:p>
        </w:tc>
        <w:tc>
          <w:tcPr>
            <w:tcW w:w="662" w:type="pct"/>
            <w:vAlign w:val="center"/>
          </w:tcPr>
          <w:p w14:paraId="406A0C09"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Specificity (%)</w:t>
            </w:r>
          </w:p>
        </w:tc>
        <w:tc>
          <w:tcPr>
            <w:tcW w:w="592" w:type="pct"/>
            <w:vAlign w:val="center"/>
          </w:tcPr>
          <w:p w14:paraId="3F5C83CB"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p</w:t>
            </w:r>
          </w:p>
        </w:tc>
      </w:tr>
      <w:tr w:rsidR="00661ABC" w:rsidRPr="00661ABC" w14:paraId="25F0D990" w14:textId="77777777" w:rsidTr="007964BA">
        <w:trPr>
          <w:trHeight w:val="57"/>
          <w:jc w:val="center"/>
        </w:trPr>
        <w:tc>
          <w:tcPr>
            <w:tcW w:w="1177" w:type="pct"/>
            <w:vAlign w:val="center"/>
          </w:tcPr>
          <w:p w14:paraId="3184205F"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GLS (%)</w:t>
            </w:r>
          </w:p>
        </w:tc>
        <w:tc>
          <w:tcPr>
            <w:tcW w:w="1262" w:type="pct"/>
            <w:vAlign w:val="center"/>
          </w:tcPr>
          <w:p w14:paraId="453A29AD" w14:textId="77777777" w:rsidR="007964BA"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0.88</w:t>
            </w:r>
          </w:p>
          <w:p w14:paraId="34DA9888" w14:textId="02C47146"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(0.82 – 0.94)</w:t>
            </w:r>
          </w:p>
        </w:tc>
        <w:tc>
          <w:tcPr>
            <w:tcW w:w="644" w:type="pct"/>
            <w:vAlign w:val="center"/>
          </w:tcPr>
          <w:p w14:paraId="411A5FD7"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-11.6</w:t>
            </w:r>
          </w:p>
        </w:tc>
        <w:tc>
          <w:tcPr>
            <w:tcW w:w="662" w:type="pct"/>
            <w:vAlign w:val="center"/>
          </w:tcPr>
          <w:p w14:paraId="2BDB8B0E"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82.3</w:t>
            </w:r>
          </w:p>
        </w:tc>
        <w:tc>
          <w:tcPr>
            <w:tcW w:w="662" w:type="pct"/>
            <w:vAlign w:val="center"/>
          </w:tcPr>
          <w:p w14:paraId="20726AA9"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84.1</w:t>
            </w:r>
          </w:p>
        </w:tc>
        <w:tc>
          <w:tcPr>
            <w:tcW w:w="592" w:type="pct"/>
            <w:vAlign w:val="center"/>
          </w:tcPr>
          <w:p w14:paraId="60728F50" w14:textId="77777777" w:rsidR="00661ABC" w:rsidRPr="00661ABC" w:rsidRDefault="00661ABC" w:rsidP="00661ABC">
            <w:pPr>
              <w:spacing w:line="240" w:lineRule="auto"/>
              <w:ind w:firstLine="0"/>
              <w:jc w:val="center"/>
              <w:rPr>
                <w:rFonts w:eastAsia="Calibri"/>
                <w:b/>
                <w:bCs/>
                <w:color w:val="000000"/>
                <w:shd w:val="clear" w:color="auto" w:fill="auto"/>
              </w:rPr>
            </w:pPr>
            <w:r w:rsidRPr="00661ABC">
              <w:rPr>
                <w:rFonts w:eastAsia="Calibri"/>
                <w:b/>
                <w:bCs/>
                <w:color w:val="000000"/>
                <w:shd w:val="clear" w:color="auto" w:fill="auto"/>
              </w:rPr>
              <w:t>0.000</w:t>
            </w:r>
          </w:p>
        </w:tc>
      </w:tr>
      <w:tr w:rsidR="00661ABC" w:rsidRPr="00661ABC" w14:paraId="7F4B3348" w14:textId="77777777" w:rsidTr="007964BA">
        <w:trPr>
          <w:trHeight w:val="57"/>
          <w:jc w:val="center"/>
        </w:trPr>
        <w:tc>
          <w:tcPr>
            <w:tcW w:w="1177" w:type="pct"/>
            <w:vAlign w:val="center"/>
          </w:tcPr>
          <w:p w14:paraId="23D73990"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VAC</w:t>
            </w:r>
          </w:p>
        </w:tc>
        <w:tc>
          <w:tcPr>
            <w:tcW w:w="1262" w:type="pct"/>
            <w:vAlign w:val="center"/>
          </w:tcPr>
          <w:p w14:paraId="1A17D88F" w14:textId="77777777" w:rsidR="007964BA"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0.76</w:t>
            </w:r>
          </w:p>
          <w:p w14:paraId="12C81166" w14:textId="635DA1DF"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(0.68 – 0.84)</w:t>
            </w:r>
          </w:p>
        </w:tc>
        <w:tc>
          <w:tcPr>
            <w:tcW w:w="644" w:type="pct"/>
            <w:vAlign w:val="center"/>
          </w:tcPr>
          <w:p w14:paraId="20501F7E"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0.57</w:t>
            </w:r>
          </w:p>
        </w:tc>
        <w:tc>
          <w:tcPr>
            <w:tcW w:w="662" w:type="pct"/>
            <w:vAlign w:val="center"/>
          </w:tcPr>
          <w:p w14:paraId="3CD4E969"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82.3</w:t>
            </w:r>
          </w:p>
        </w:tc>
        <w:tc>
          <w:tcPr>
            <w:tcW w:w="662" w:type="pct"/>
            <w:vAlign w:val="center"/>
          </w:tcPr>
          <w:p w14:paraId="4F0B234E"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58</w:t>
            </w:r>
          </w:p>
        </w:tc>
        <w:tc>
          <w:tcPr>
            <w:tcW w:w="592" w:type="pct"/>
            <w:vAlign w:val="center"/>
          </w:tcPr>
          <w:p w14:paraId="79565015" w14:textId="77777777" w:rsidR="00661ABC" w:rsidRPr="00661ABC" w:rsidRDefault="00661ABC" w:rsidP="00661ABC">
            <w:pPr>
              <w:spacing w:line="240" w:lineRule="auto"/>
              <w:ind w:firstLine="0"/>
              <w:jc w:val="center"/>
              <w:rPr>
                <w:rFonts w:eastAsia="Calibri"/>
                <w:b/>
                <w:bCs/>
                <w:color w:val="000000"/>
                <w:shd w:val="clear" w:color="auto" w:fill="auto"/>
              </w:rPr>
            </w:pPr>
            <w:r w:rsidRPr="00661ABC">
              <w:rPr>
                <w:rFonts w:eastAsia="Calibri"/>
                <w:b/>
                <w:bCs/>
                <w:color w:val="000000"/>
                <w:shd w:val="clear" w:color="auto" w:fill="auto"/>
              </w:rPr>
              <w:t>0.000</w:t>
            </w:r>
          </w:p>
        </w:tc>
      </w:tr>
      <w:tr w:rsidR="00661ABC" w:rsidRPr="00661ABC" w14:paraId="39B826C5" w14:textId="77777777" w:rsidTr="007964BA">
        <w:trPr>
          <w:trHeight w:val="57"/>
          <w:jc w:val="center"/>
        </w:trPr>
        <w:tc>
          <w:tcPr>
            <w:tcW w:w="1177" w:type="pct"/>
            <w:vAlign w:val="center"/>
          </w:tcPr>
          <w:p w14:paraId="02FB4287" w14:textId="77777777" w:rsidR="00661ABC" w:rsidRPr="00661ABC" w:rsidRDefault="00661ABC" w:rsidP="00661ABC">
            <w:pPr>
              <w:spacing w:line="240" w:lineRule="auto"/>
              <w:ind w:firstLine="0"/>
              <w:jc w:val="center"/>
              <w:rPr>
                <w:rFonts w:eastAsia="Calibri"/>
                <w:color w:val="000000"/>
                <w:shd w:val="clear" w:color="auto" w:fill="auto"/>
                <w:lang w:val="vi-VN"/>
              </w:rPr>
            </w:pPr>
            <w:r w:rsidRPr="00661ABC">
              <w:rPr>
                <w:rFonts w:eastAsia="Calibri"/>
                <w:color w:val="000000"/>
                <w:shd w:val="clear" w:color="auto" w:fill="auto"/>
              </w:rPr>
              <w:t xml:space="preserve">NT-proBNP </w:t>
            </w:r>
            <w:r w:rsidRPr="00661ABC">
              <w:rPr>
                <w:rFonts w:eastAsia="Calibri"/>
                <w:color w:val="000000"/>
                <w:shd w:val="clear" w:color="auto" w:fill="auto"/>
                <w:lang w:val="vi-VN"/>
              </w:rPr>
              <w:t>(pg/ml)</w:t>
            </w:r>
          </w:p>
        </w:tc>
        <w:tc>
          <w:tcPr>
            <w:tcW w:w="1262" w:type="pct"/>
            <w:vAlign w:val="center"/>
          </w:tcPr>
          <w:p w14:paraId="459707E9" w14:textId="77777777" w:rsidR="007964BA"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0.72</w:t>
            </w:r>
          </w:p>
          <w:p w14:paraId="7C33E1C6" w14:textId="1FDB92AF"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(0.63 – 0.81)</w:t>
            </w:r>
          </w:p>
        </w:tc>
        <w:tc>
          <w:tcPr>
            <w:tcW w:w="644" w:type="pct"/>
            <w:vAlign w:val="center"/>
          </w:tcPr>
          <w:p w14:paraId="6D6953A1"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1421</w:t>
            </w:r>
          </w:p>
        </w:tc>
        <w:tc>
          <w:tcPr>
            <w:tcW w:w="662" w:type="pct"/>
            <w:vAlign w:val="center"/>
          </w:tcPr>
          <w:p w14:paraId="7CBA2B37"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46.8</w:t>
            </w:r>
          </w:p>
        </w:tc>
        <w:tc>
          <w:tcPr>
            <w:tcW w:w="662" w:type="pct"/>
            <w:vAlign w:val="center"/>
          </w:tcPr>
          <w:p w14:paraId="0D18D432"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92.8</w:t>
            </w:r>
          </w:p>
        </w:tc>
        <w:tc>
          <w:tcPr>
            <w:tcW w:w="592" w:type="pct"/>
            <w:vAlign w:val="center"/>
          </w:tcPr>
          <w:p w14:paraId="0C913558" w14:textId="77777777" w:rsidR="00661ABC" w:rsidRPr="00661ABC" w:rsidRDefault="00661ABC" w:rsidP="00661ABC">
            <w:pPr>
              <w:spacing w:line="240" w:lineRule="auto"/>
              <w:ind w:firstLine="0"/>
              <w:jc w:val="center"/>
              <w:rPr>
                <w:rFonts w:eastAsia="Calibri"/>
                <w:b/>
                <w:bCs/>
                <w:color w:val="000000"/>
                <w:shd w:val="clear" w:color="auto" w:fill="auto"/>
              </w:rPr>
            </w:pPr>
            <w:r w:rsidRPr="00661ABC">
              <w:rPr>
                <w:rFonts w:eastAsia="Calibri"/>
                <w:b/>
                <w:bCs/>
                <w:color w:val="000000"/>
                <w:shd w:val="clear" w:color="auto" w:fill="auto"/>
              </w:rPr>
              <w:t>0.000</w:t>
            </w:r>
          </w:p>
        </w:tc>
      </w:tr>
    </w:tbl>
    <w:p w14:paraId="31C6C11F" w14:textId="6CEB9904" w:rsidR="000076D6" w:rsidRDefault="007964BA" w:rsidP="00C25BE7">
      <w:pPr>
        <w:pStyle w:val="abang"/>
        <w:spacing w:line="340" w:lineRule="exact"/>
        <w:jc w:val="both"/>
        <w:rPr>
          <w:rFonts w:eastAsia="Play"/>
          <w:b w:val="0"/>
        </w:rPr>
      </w:pPr>
      <w:r>
        <w:rPr>
          <w:rFonts w:eastAsia="Play"/>
          <w:bCs w:val="0"/>
        </w:rPr>
        <w:tab/>
      </w:r>
      <w:r w:rsidRPr="007964BA">
        <w:rPr>
          <w:rFonts w:eastAsia="Play"/>
          <w:b w:val="0"/>
        </w:rPr>
        <w:t>GLS has a strong predictive ability for heart failure at discharge, while VAC and NT-proBNP have a moderate predictive ability.</w:t>
      </w:r>
    </w:p>
    <w:p w14:paraId="75C458F3" w14:textId="77777777" w:rsidR="008A4DB3" w:rsidRDefault="008A4DB3" w:rsidP="00C25BE7">
      <w:pPr>
        <w:pStyle w:val="abang"/>
        <w:spacing w:line="340" w:lineRule="exact"/>
        <w:jc w:val="both"/>
        <w:rPr>
          <w:rFonts w:eastAsia="Play"/>
          <w:b w:val="0"/>
        </w:rPr>
      </w:pPr>
    </w:p>
    <w:p w14:paraId="3F0880A7" w14:textId="77777777" w:rsidR="007964BA" w:rsidRDefault="007964BA" w:rsidP="00C25BE7">
      <w:pPr>
        <w:pStyle w:val="abang"/>
        <w:spacing w:line="340" w:lineRule="exact"/>
        <w:jc w:val="both"/>
        <w:rPr>
          <w:rFonts w:eastAsia="Play"/>
          <w:b w:val="0"/>
        </w:rPr>
      </w:pPr>
    </w:p>
    <w:p w14:paraId="5C93FE48" w14:textId="48D71D5A" w:rsidR="007964BA" w:rsidRPr="007964BA" w:rsidRDefault="007964BA" w:rsidP="007964BA">
      <w:pPr>
        <w:pStyle w:val="abang"/>
        <w:spacing w:line="340" w:lineRule="exact"/>
        <w:rPr>
          <w:rFonts w:eastAsia="Play"/>
          <w:b w:val="0"/>
        </w:rPr>
      </w:pPr>
      <w:r>
        <w:rPr>
          <w:rFonts w:eastAsia="Play"/>
          <w:b w:val="0"/>
        </w:rPr>
        <w:t xml:space="preserve">Table 3.9. </w:t>
      </w:r>
      <w:r w:rsidRPr="007964BA">
        <w:rPr>
          <w:rFonts w:eastAsia="Play"/>
          <w:b w:val="0"/>
        </w:rPr>
        <w:t>Cardiovascular events over 12 months in the MI group (n = 136)</w:t>
      </w:r>
    </w:p>
    <w:tbl>
      <w:tblPr>
        <w:tblStyle w:val="TableGrid"/>
        <w:tblW w:w="5000" w:type="pct"/>
        <w:tblLook w:val="04A0" w:firstRow="1" w:lastRow="0" w:firstColumn="1" w:lastColumn="0" w:noHBand="0" w:noVBand="1"/>
      </w:tblPr>
      <w:tblGrid>
        <w:gridCol w:w="855"/>
        <w:gridCol w:w="3082"/>
        <w:gridCol w:w="1029"/>
        <w:gridCol w:w="1176"/>
      </w:tblGrid>
      <w:tr w:rsidR="007964BA" w:rsidRPr="007964BA" w14:paraId="0D6A189F" w14:textId="77777777" w:rsidTr="007964BA">
        <w:tc>
          <w:tcPr>
            <w:tcW w:w="3205" w:type="pct"/>
            <w:gridSpan w:val="2"/>
            <w:vAlign w:val="center"/>
          </w:tcPr>
          <w:p w14:paraId="25A1A12D" w14:textId="77777777" w:rsidR="007964BA" w:rsidRPr="007964BA" w:rsidRDefault="007964BA" w:rsidP="007964BA">
            <w:pPr>
              <w:pStyle w:val="abang"/>
              <w:rPr>
                <w:rFonts w:eastAsia="Play"/>
              </w:rPr>
            </w:pPr>
            <w:r w:rsidRPr="007964BA">
              <w:rPr>
                <w:rFonts w:eastAsia="Play"/>
              </w:rPr>
              <w:t>Event</w:t>
            </w:r>
          </w:p>
        </w:tc>
        <w:tc>
          <w:tcPr>
            <w:tcW w:w="838" w:type="pct"/>
            <w:vAlign w:val="center"/>
          </w:tcPr>
          <w:p w14:paraId="44B1097F" w14:textId="77777777" w:rsidR="007964BA" w:rsidRPr="007964BA" w:rsidRDefault="007964BA" w:rsidP="007964BA">
            <w:pPr>
              <w:pStyle w:val="abang"/>
              <w:rPr>
                <w:rFonts w:eastAsia="Play"/>
              </w:rPr>
            </w:pPr>
            <w:r w:rsidRPr="007964BA">
              <w:rPr>
                <w:rFonts w:eastAsia="Play"/>
              </w:rPr>
              <w:t>n</w:t>
            </w:r>
          </w:p>
        </w:tc>
        <w:tc>
          <w:tcPr>
            <w:tcW w:w="957" w:type="pct"/>
            <w:vAlign w:val="center"/>
          </w:tcPr>
          <w:p w14:paraId="56C63848" w14:textId="77777777" w:rsidR="007964BA" w:rsidRPr="007964BA" w:rsidRDefault="007964BA" w:rsidP="007964BA">
            <w:pPr>
              <w:pStyle w:val="abang"/>
              <w:rPr>
                <w:rFonts w:eastAsia="Play"/>
              </w:rPr>
            </w:pPr>
            <w:r w:rsidRPr="007964BA">
              <w:rPr>
                <w:rFonts w:eastAsia="Play"/>
              </w:rPr>
              <w:t>%</w:t>
            </w:r>
          </w:p>
        </w:tc>
      </w:tr>
      <w:tr w:rsidR="007964BA" w:rsidRPr="007964BA" w14:paraId="03A001D7" w14:textId="77777777" w:rsidTr="007964BA">
        <w:tc>
          <w:tcPr>
            <w:tcW w:w="3205" w:type="pct"/>
            <w:gridSpan w:val="2"/>
            <w:vAlign w:val="center"/>
          </w:tcPr>
          <w:p w14:paraId="3A3F45E8" w14:textId="77777777" w:rsidR="007964BA" w:rsidRPr="007964BA" w:rsidRDefault="007964BA" w:rsidP="007964BA">
            <w:pPr>
              <w:pStyle w:val="abang"/>
              <w:jc w:val="both"/>
              <w:rPr>
                <w:rFonts w:eastAsia="Play"/>
                <w:b w:val="0"/>
                <w:bCs w:val="0"/>
              </w:rPr>
            </w:pPr>
            <w:r w:rsidRPr="007964BA">
              <w:rPr>
                <w:rFonts w:eastAsia="Play"/>
                <w:b w:val="0"/>
                <w:bCs w:val="0"/>
              </w:rPr>
              <w:t>Major cardiovascular events (MACE)</w:t>
            </w:r>
          </w:p>
        </w:tc>
        <w:tc>
          <w:tcPr>
            <w:tcW w:w="838" w:type="pct"/>
            <w:vAlign w:val="center"/>
          </w:tcPr>
          <w:p w14:paraId="2869AD53" w14:textId="77777777" w:rsidR="007964BA" w:rsidRPr="007964BA" w:rsidRDefault="007964BA" w:rsidP="007964BA">
            <w:pPr>
              <w:pStyle w:val="abang"/>
              <w:rPr>
                <w:rFonts w:eastAsia="Play"/>
                <w:b w:val="0"/>
                <w:bCs w:val="0"/>
              </w:rPr>
            </w:pPr>
            <w:r w:rsidRPr="007964BA">
              <w:rPr>
                <w:rFonts w:eastAsia="Play"/>
                <w:b w:val="0"/>
                <w:bCs w:val="0"/>
              </w:rPr>
              <w:t>20</w:t>
            </w:r>
          </w:p>
        </w:tc>
        <w:tc>
          <w:tcPr>
            <w:tcW w:w="957" w:type="pct"/>
            <w:vAlign w:val="center"/>
          </w:tcPr>
          <w:p w14:paraId="792B0D09" w14:textId="77777777" w:rsidR="007964BA" w:rsidRPr="007964BA" w:rsidRDefault="007964BA" w:rsidP="007964BA">
            <w:pPr>
              <w:pStyle w:val="abang"/>
              <w:rPr>
                <w:rFonts w:eastAsia="Play"/>
                <w:b w:val="0"/>
                <w:bCs w:val="0"/>
              </w:rPr>
            </w:pPr>
            <w:r w:rsidRPr="007964BA">
              <w:rPr>
                <w:rFonts w:eastAsia="Play"/>
                <w:b w:val="0"/>
                <w:bCs w:val="0"/>
              </w:rPr>
              <w:t>14.7</w:t>
            </w:r>
          </w:p>
        </w:tc>
      </w:tr>
      <w:tr w:rsidR="007964BA" w:rsidRPr="007964BA" w14:paraId="4B4EBD50" w14:textId="77777777" w:rsidTr="007964BA">
        <w:tc>
          <w:tcPr>
            <w:tcW w:w="696" w:type="pct"/>
            <w:vMerge w:val="restart"/>
            <w:vAlign w:val="center"/>
          </w:tcPr>
          <w:p w14:paraId="2C735A6A" w14:textId="77777777" w:rsidR="007964BA" w:rsidRPr="007964BA" w:rsidRDefault="007964BA" w:rsidP="007964BA">
            <w:pPr>
              <w:pStyle w:val="abang"/>
              <w:jc w:val="both"/>
              <w:rPr>
                <w:rFonts w:eastAsia="Play"/>
              </w:rPr>
            </w:pPr>
          </w:p>
        </w:tc>
        <w:tc>
          <w:tcPr>
            <w:tcW w:w="2509" w:type="pct"/>
            <w:vAlign w:val="center"/>
          </w:tcPr>
          <w:p w14:paraId="60606F05" w14:textId="77777777" w:rsidR="007964BA" w:rsidRPr="007964BA" w:rsidRDefault="007964BA" w:rsidP="007964BA">
            <w:pPr>
              <w:pStyle w:val="abang"/>
              <w:jc w:val="both"/>
              <w:rPr>
                <w:rFonts w:eastAsia="Play"/>
                <w:b w:val="0"/>
                <w:bCs w:val="0"/>
                <w:lang w:val="pt-BR"/>
              </w:rPr>
            </w:pPr>
            <w:r w:rsidRPr="007964BA">
              <w:rPr>
                <w:rFonts w:eastAsia="Play"/>
                <w:b w:val="0"/>
                <w:bCs w:val="0"/>
                <w:lang w:val="pt-BR"/>
              </w:rPr>
              <w:t>Death from all causes</w:t>
            </w:r>
          </w:p>
        </w:tc>
        <w:tc>
          <w:tcPr>
            <w:tcW w:w="838" w:type="pct"/>
            <w:vAlign w:val="center"/>
          </w:tcPr>
          <w:p w14:paraId="6E8FFCD6" w14:textId="77777777" w:rsidR="007964BA" w:rsidRPr="007964BA" w:rsidRDefault="007964BA" w:rsidP="007964BA">
            <w:pPr>
              <w:pStyle w:val="abang"/>
              <w:rPr>
                <w:rFonts w:eastAsia="Play"/>
                <w:b w:val="0"/>
                <w:bCs w:val="0"/>
                <w:lang w:val="pt-BR"/>
              </w:rPr>
            </w:pPr>
            <w:r w:rsidRPr="007964BA">
              <w:rPr>
                <w:rFonts w:eastAsia="Play"/>
                <w:b w:val="0"/>
                <w:bCs w:val="0"/>
                <w:lang w:val="pt-BR"/>
              </w:rPr>
              <w:t>4</w:t>
            </w:r>
          </w:p>
        </w:tc>
        <w:tc>
          <w:tcPr>
            <w:tcW w:w="957" w:type="pct"/>
            <w:vAlign w:val="center"/>
          </w:tcPr>
          <w:p w14:paraId="24E39EC5" w14:textId="77777777" w:rsidR="007964BA" w:rsidRPr="007964BA" w:rsidRDefault="007964BA" w:rsidP="007964BA">
            <w:pPr>
              <w:pStyle w:val="abang"/>
              <w:rPr>
                <w:rFonts w:eastAsia="Play"/>
                <w:b w:val="0"/>
                <w:bCs w:val="0"/>
                <w:lang w:val="pt-BR"/>
              </w:rPr>
            </w:pPr>
            <w:r w:rsidRPr="007964BA">
              <w:rPr>
                <w:rFonts w:eastAsia="Play"/>
                <w:b w:val="0"/>
                <w:bCs w:val="0"/>
                <w:lang w:val="pt-BR"/>
              </w:rPr>
              <w:t>2.9</w:t>
            </w:r>
          </w:p>
        </w:tc>
      </w:tr>
      <w:tr w:rsidR="007964BA" w:rsidRPr="007964BA" w14:paraId="77CCDC63" w14:textId="77777777" w:rsidTr="007964BA">
        <w:tc>
          <w:tcPr>
            <w:tcW w:w="696" w:type="pct"/>
            <w:vMerge/>
            <w:vAlign w:val="center"/>
          </w:tcPr>
          <w:p w14:paraId="26C1866C" w14:textId="77777777" w:rsidR="007964BA" w:rsidRPr="007964BA" w:rsidRDefault="007964BA" w:rsidP="007964BA">
            <w:pPr>
              <w:pStyle w:val="abang"/>
              <w:jc w:val="both"/>
              <w:rPr>
                <w:rFonts w:eastAsia="Play"/>
                <w:lang w:val="pt-BR"/>
              </w:rPr>
            </w:pPr>
          </w:p>
        </w:tc>
        <w:tc>
          <w:tcPr>
            <w:tcW w:w="2509" w:type="pct"/>
            <w:vAlign w:val="center"/>
          </w:tcPr>
          <w:p w14:paraId="694EA756" w14:textId="77777777" w:rsidR="007964BA" w:rsidRPr="008B56D3" w:rsidRDefault="007964BA" w:rsidP="007964BA">
            <w:pPr>
              <w:pStyle w:val="abang"/>
              <w:jc w:val="both"/>
              <w:rPr>
                <w:rFonts w:eastAsia="Play"/>
                <w:b w:val="0"/>
                <w:bCs w:val="0"/>
                <w:lang w:val="en-US"/>
              </w:rPr>
            </w:pPr>
            <w:r w:rsidRPr="008B56D3">
              <w:rPr>
                <w:rFonts w:eastAsia="Play"/>
                <w:b w:val="0"/>
                <w:bCs w:val="0"/>
                <w:lang w:val="en-US"/>
              </w:rPr>
              <w:t>Hospitalized due to heart failure.</w:t>
            </w:r>
          </w:p>
        </w:tc>
        <w:tc>
          <w:tcPr>
            <w:tcW w:w="838" w:type="pct"/>
            <w:vAlign w:val="center"/>
          </w:tcPr>
          <w:p w14:paraId="097680BC" w14:textId="77777777" w:rsidR="007964BA" w:rsidRPr="007964BA" w:rsidRDefault="007964BA" w:rsidP="007964BA">
            <w:pPr>
              <w:pStyle w:val="abang"/>
              <w:rPr>
                <w:rFonts w:eastAsia="Play"/>
                <w:b w:val="0"/>
                <w:bCs w:val="0"/>
                <w:lang w:val="pt-BR"/>
              </w:rPr>
            </w:pPr>
            <w:r w:rsidRPr="007964BA">
              <w:rPr>
                <w:rFonts w:eastAsia="Play"/>
                <w:b w:val="0"/>
                <w:bCs w:val="0"/>
                <w:lang w:val="pt-BR"/>
              </w:rPr>
              <w:t>13</w:t>
            </w:r>
          </w:p>
        </w:tc>
        <w:tc>
          <w:tcPr>
            <w:tcW w:w="957" w:type="pct"/>
            <w:vAlign w:val="center"/>
          </w:tcPr>
          <w:p w14:paraId="223574C1" w14:textId="77777777" w:rsidR="007964BA" w:rsidRPr="007964BA" w:rsidRDefault="007964BA" w:rsidP="007964BA">
            <w:pPr>
              <w:pStyle w:val="abang"/>
              <w:rPr>
                <w:rFonts w:eastAsia="Play"/>
                <w:b w:val="0"/>
                <w:bCs w:val="0"/>
                <w:lang w:val="pt-BR"/>
              </w:rPr>
            </w:pPr>
            <w:r w:rsidRPr="007964BA">
              <w:rPr>
                <w:rFonts w:eastAsia="Play"/>
                <w:b w:val="0"/>
                <w:bCs w:val="0"/>
                <w:lang w:val="pt-BR"/>
              </w:rPr>
              <w:t>9.5</w:t>
            </w:r>
          </w:p>
        </w:tc>
      </w:tr>
      <w:tr w:rsidR="007964BA" w:rsidRPr="007964BA" w14:paraId="0CB6BE09" w14:textId="77777777" w:rsidTr="007964BA">
        <w:tc>
          <w:tcPr>
            <w:tcW w:w="696" w:type="pct"/>
            <w:vMerge/>
            <w:vAlign w:val="center"/>
          </w:tcPr>
          <w:p w14:paraId="092FBEB9" w14:textId="77777777" w:rsidR="007964BA" w:rsidRPr="007964BA" w:rsidRDefault="007964BA" w:rsidP="007964BA">
            <w:pPr>
              <w:pStyle w:val="abang"/>
              <w:jc w:val="both"/>
              <w:rPr>
                <w:rFonts w:eastAsia="Play"/>
                <w:lang w:val="pt-BR"/>
              </w:rPr>
            </w:pPr>
          </w:p>
        </w:tc>
        <w:tc>
          <w:tcPr>
            <w:tcW w:w="2509" w:type="pct"/>
            <w:vAlign w:val="center"/>
          </w:tcPr>
          <w:p w14:paraId="07B48352" w14:textId="77777777" w:rsidR="007964BA" w:rsidRPr="007964BA" w:rsidRDefault="007964BA" w:rsidP="007964BA">
            <w:pPr>
              <w:pStyle w:val="abang"/>
              <w:jc w:val="both"/>
              <w:rPr>
                <w:rFonts w:eastAsia="Play"/>
                <w:b w:val="0"/>
                <w:bCs w:val="0"/>
                <w:lang w:val="pt-BR"/>
              </w:rPr>
            </w:pPr>
            <w:r w:rsidRPr="007964BA">
              <w:rPr>
                <w:rFonts w:eastAsia="Play"/>
                <w:b w:val="0"/>
                <w:bCs w:val="0"/>
                <w:lang w:val="pt-BR"/>
              </w:rPr>
              <w:t>Re-myocardial infarction</w:t>
            </w:r>
          </w:p>
        </w:tc>
        <w:tc>
          <w:tcPr>
            <w:tcW w:w="838" w:type="pct"/>
            <w:vAlign w:val="center"/>
          </w:tcPr>
          <w:p w14:paraId="331E9889" w14:textId="77777777" w:rsidR="007964BA" w:rsidRPr="007964BA" w:rsidRDefault="007964BA" w:rsidP="007964BA">
            <w:pPr>
              <w:pStyle w:val="abang"/>
              <w:rPr>
                <w:rFonts w:eastAsia="Play"/>
                <w:b w:val="0"/>
                <w:bCs w:val="0"/>
                <w:lang w:val="pt-BR"/>
              </w:rPr>
            </w:pPr>
            <w:r w:rsidRPr="007964BA">
              <w:rPr>
                <w:rFonts w:eastAsia="Play"/>
                <w:b w:val="0"/>
                <w:bCs w:val="0"/>
                <w:lang w:val="pt-BR"/>
              </w:rPr>
              <w:t>4</w:t>
            </w:r>
          </w:p>
        </w:tc>
        <w:tc>
          <w:tcPr>
            <w:tcW w:w="957" w:type="pct"/>
            <w:vAlign w:val="center"/>
          </w:tcPr>
          <w:p w14:paraId="37CE9F01" w14:textId="77777777" w:rsidR="007964BA" w:rsidRPr="007964BA" w:rsidRDefault="007964BA" w:rsidP="007964BA">
            <w:pPr>
              <w:pStyle w:val="abang"/>
              <w:rPr>
                <w:rFonts w:eastAsia="Play"/>
                <w:b w:val="0"/>
                <w:bCs w:val="0"/>
                <w:lang w:val="pt-BR"/>
              </w:rPr>
            </w:pPr>
            <w:r w:rsidRPr="007964BA">
              <w:rPr>
                <w:rFonts w:eastAsia="Play"/>
                <w:b w:val="0"/>
                <w:bCs w:val="0"/>
                <w:lang w:val="pt-BR"/>
              </w:rPr>
              <w:t>2.9</w:t>
            </w:r>
          </w:p>
        </w:tc>
      </w:tr>
      <w:tr w:rsidR="007964BA" w:rsidRPr="007964BA" w14:paraId="37B0D39A" w14:textId="77777777" w:rsidTr="007964BA">
        <w:tc>
          <w:tcPr>
            <w:tcW w:w="696" w:type="pct"/>
            <w:vMerge/>
            <w:vAlign w:val="center"/>
          </w:tcPr>
          <w:p w14:paraId="59A51C7C" w14:textId="77777777" w:rsidR="007964BA" w:rsidRPr="007964BA" w:rsidRDefault="007964BA" w:rsidP="007964BA">
            <w:pPr>
              <w:pStyle w:val="abang"/>
              <w:jc w:val="both"/>
              <w:rPr>
                <w:rFonts w:eastAsia="Play"/>
                <w:lang w:val="pt-BR"/>
              </w:rPr>
            </w:pPr>
          </w:p>
        </w:tc>
        <w:tc>
          <w:tcPr>
            <w:tcW w:w="2509" w:type="pct"/>
            <w:vAlign w:val="center"/>
          </w:tcPr>
          <w:p w14:paraId="2E42AA3F" w14:textId="77777777" w:rsidR="007964BA" w:rsidRPr="007964BA" w:rsidRDefault="007964BA" w:rsidP="007964BA">
            <w:pPr>
              <w:pStyle w:val="abang"/>
              <w:jc w:val="both"/>
              <w:rPr>
                <w:rFonts w:eastAsia="Play"/>
                <w:b w:val="0"/>
                <w:bCs w:val="0"/>
                <w:lang w:val="pt-BR"/>
              </w:rPr>
            </w:pPr>
            <w:r w:rsidRPr="007964BA">
              <w:rPr>
                <w:rFonts w:eastAsia="Play"/>
                <w:b w:val="0"/>
                <w:bCs w:val="0"/>
                <w:lang w:val="pt-BR"/>
              </w:rPr>
              <w:t>Ischemic stroke</w:t>
            </w:r>
          </w:p>
        </w:tc>
        <w:tc>
          <w:tcPr>
            <w:tcW w:w="838" w:type="pct"/>
            <w:vAlign w:val="center"/>
          </w:tcPr>
          <w:p w14:paraId="4E8A0DA0" w14:textId="77777777" w:rsidR="007964BA" w:rsidRPr="007964BA" w:rsidRDefault="007964BA" w:rsidP="007964BA">
            <w:pPr>
              <w:pStyle w:val="abang"/>
              <w:rPr>
                <w:rFonts w:eastAsia="Play"/>
                <w:b w:val="0"/>
                <w:bCs w:val="0"/>
                <w:lang w:val="pt-BR"/>
              </w:rPr>
            </w:pPr>
            <w:r w:rsidRPr="007964BA">
              <w:rPr>
                <w:rFonts w:eastAsia="Play"/>
                <w:b w:val="0"/>
                <w:bCs w:val="0"/>
                <w:lang w:val="pt-BR"/>
              </w:rPr>
              <w:t>2</w:t>
            </w:r>
          </w:p>
        </w:tc>
        <w:tc>
          <w:tcPr>
            <w:tcW w:w="957" w:type="pct"/>
            <w:vAlign w:val="center"/>
          </w:tcPr>
          <w:p w14:paraId="21398BB1" w14:textId="77777777" w:rsidR="007964BA" w:rsidRPr="007964BA" w:rsidRDefault="007964BA" w:rsidP="007964BA">
            <w:pPr>
              <w:pStyle w:val="abang"/>
              <w:rPr>
                <w:rFonts w:eastAsia="Play"/>
                <w:b w:val="0"/>
                <w:bCs w:val="0"/>
                <w:lang w:val="pt-BR"/>
              </w:rPr>
            </w:pPr>
            <w:r w:rsidRPr="007964BA">
              <w:rPr>
                <w:rFonts w:eastAsia="Play"/>
                <w:b w:val="0"/>
                <w:bCs w:val="0"/>
                <w:lang w:val="pt-BR"/>
              </w:rPr>
              <w:t>1.5</w:t>
            </w:r>
          </w:p>
        </w:tc>
      </w:tr>
    </w:tbl>
    <w:p w14:paraId="56B9E6AE" w14:textId="23C047E0" w:rsidR="000076D6" w:rsidRDefault="007964BA" w:rsidP="00C25BE7">
      <w:pPr>
        <w:pStyle w:val="abang"/>
        <w:spacing w:line="340" w:lineRule="exact"/>
        <w:jc w:val="both"/>
        <w:rPr>
          <w:rFonts w:eastAsia="Play"/>
          <w:b w:val="0"/>
        </w:rPr>
      </w:pPr>
      <w:r>
        <w:rPr>
          <w:rFonts w:eastAsia="Play"/>
          <w:b w:val="0"/>
        </w:rPr>
        <w:tab/>
        <w:t xml:space="preserve">Major cardiovascular events occurred in 20 patients (14.7%) </w:t>
      </w:r>
      <w:r w:rsidR="008A4DB3">
        <w:rPr>
          <w:rFonts w:eastAsia="Play"/>
          <w:b w:val="0"/>
        </w:rPr>
        <w:t>.</w:t>
      </w:r>
    </w:p>
    <w:p w14:paraId="25651406" w14:textId="648C78D4" w:rsidR="007964BA" w:rsidRDefault="007964BA" w:rsidP="007964BA">
      <w:pPr>
        <w:pStyle w:val="abang"/>
        <w:spacing w:line="340" w:lineRule="exact"/>
        <w:rPr>
          <w:rFonts w:eastAsia="Play"/>
          <w:b w:val="0"/>
        </w:rPr>
      </w:pPr>
      <w:r>
        <w:rPr>
          <w:rFonts w:eastAsia="Play"/>
          <w:b w:val="0"/>
        </w:rPr>
        <w:t>Figure 3.4. ROC curve predicting major cardiovascular events based on VAC and GLS indices at admission.</w:t>
      </w:r>
    </w:p>
    <w:p w14:paraId="54342AB6" w14:textId="7C045473" w:rsidR="007964BA" w:rsidRPr="007964BA" w:rsidRDefault="007964BA" w:rsidP="007964BA">
      <w:pPr>
        <w:pStyle w:val="abang"/>
        <w:spacing w:line="340" w:lineRule="exact"/>
        <w:rPr>
          <w:rFonts w:eastAsia="Play"/>
          <w:b w:val="0"/>
        </w:rPr>
      </w:pPr>
      <w:r w:rsidRPr="00E547EF">
        <w:rPr>
          <w:rFonts w:eastAsia="Calibri"/>
          <w:noProof/>
          <w:color w:val="000000"/>
          <w:sz w:val="28"/>
          <w:szCs w:val="28"/>
        </w:rPr>
        <w:lastRenderedPageBreak/>
        <w:drawing>
          <wp:anchor distT="0" distB="0" distL="114300" distR="114300" simplePos="0" relativeHeight="251679744" behindDoc="0" locked="0" layoutInCell="1" allowOverlap="1" wp14:anchorId="65AC9FF3" wp14:editId="7BB51C40">
            <wp:simplePos x="0" y="0"/>
            <wp:positionH relativeFrom="margin">
              <wp:posOffset>637540</wp:posOffset>
            </wp:positionH>
            <wp:positionV relativeFrom="paragraph">
              <wp:posOffset>24765</wp:posOffset>
            </wp:positionV>
            <wp:extent cx="2992120" cy="1842135"/>
            <wp:effectExtent l="0" t="0" r="0" b="5715"/>
            <wp:wrapSquare wrapText="bothSides"/>
            <wp:docPr id="1562555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55588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2120" cy="1842135"/>
                    </a:xfrm>
                    <a:prstGeom prst="rect">
                      <a:avLst/>
                    </a:prstGeom>
                  </pic:spPr>
                </pic:pic>
              </a:graphicData>
            </a:graphic>
            <wp14:sizeRelH relativeFrom="margin">
              <wp14:pctWidth>0</wp14:pctWidth>
            </wp14:sizeRelH>
            <wp14:sizeRelV relativeFrom="margin">
              <wp14:pctHeight>0</wp14:pctHeight>
            </wp14:sizeRelV>
          </wp:anchor>
        </w:drawing>
      </w:r>
    </w:p>
    <w:p w14:paraId="332F7059" w14:textId="09AF346A" w:rsidR="000076D6" w:rsidRPr="007964BA" w:rsidRDefault="000076D6" w:rsidP="00C25BE7">
      <w:pPr>
        <w:pStyle w:val="abang"/>
        <w:spacing w:line="340" w:lineRule="exact"/>
        <w:jc w:val="both"/>
        <w:rPr>
          <w:rFonts w:eastAsia="Play"/>
          <w:bCs w:val="0"/>
        </w:rPr>
      </w:pPr>
    </w:p>
    <w:p w14:paraId="2E890FFC" w14:textId="19452AEA" w:rsidR="00275751" w:rsidRPr="0023747C" w:rsidRDefault="00275751" w:rsidP="0023747C">
      <w:pPr>
        <w:pStyle w:val="abang"/>
        <w:rPr>
          <w:lang w:val="vi-VN"/>
        </w:rPr>
      </w:pPr>
      <w:bookmarkStart w:id="9" w:name="_Toc210307109"/>
    </w:p>
    <w:p w14:paraId="21FEA83A" w14:textId="10B70731" w:rsidR="00646ECF" w:rsidRPr="0023747C" w:rsidRDefault="00646ECF" w:rsidP="00AF0185">
      <w:pPr>
        <w:pStyle w:val="abang"/>
        <w:rPr>
          <w:b w:val="0"/>
          <w:bCs w:val="0"/>
          <w:lang w:val="vi-VN"/>
        </w:rPr>
      </w:pPr>
      <w:bookmarkStart w:id="10" w:name="_Hlk211032724"/>
      <w:bookmarkEnd w:id="9"/>
    </w:p>
    <w:bookmarkEnd w:id="8"/>
    <w:bookmarkEnd w:id="10"/>
    <w:p w14:paraId="138A975F" w14:textId="37D2853F" w:rsidR="001630C6" w:rsidRDefault="001630C6" w:rsidP="0023747C">
      <w:pPr>
        <w:widowControl w:val="0"/>
        <w:autoSpaceDE w:val="0"/>
        <w:autoSpaceDN w:val="0"/>
        <w:adjustRightInd w:val="0"/>
        <w:ind w:firstLine="0"/>
        <w:rPr>
          <w:rFonts w:eastAsia="MS Mincho"/>
          <w:b/>
          <w:iCs/>
          <w:highlight w:val="white"/>
          <w:lang w:eastAsia="ko-KR"/>
        </w:rPr>
      </w:pPr>
    </w:p>
    <w:p w14:paraId="1FFB8123" w14:textId="79F4A5B3" w:rsidR="007964BA" w:rsidRDefault="007964BA" w:rsidP="0023747C">
      <w:pPr>
        <w:widowControl w:val="0"/>
        <w:autoSpaceDE w:val="0"/>
        <w:autoSpaceDN w:val="0"/>
        <w:adjustRightInd w:val="0"/>
        <w:ind w:firstLine="0"/>
        <w:rPr>
          <w:rFonts w:eastAsia="MS Mincho"/>
          <w:b/>
          <w:iCs/>
          <w:highlight w:val="white"/>
          <w:lang w:eastAsia="ko-KR"/>
        </w:rPr>
      </w:pPr>
    </w:p>
    <w:p w14:paraId="61D6D98A" w14:textId="2C7A751E" w:rsidR="007964BA" w:rsidRDefault="007964BA" w:rsidP="0023747C">
      <w:pPr>
        <w:widowControl w:val="0"/>
        <w:autoSpaceDE w:val="0"/>
        <w:autoSpaceDN w:val="0"/>
        <w:adjustRightInd w:val="0"/>
        <w:ind w:firstLine="0"/>
        <w:rPr>
          <w:rFonts w:eastAsia="MS Mincho"/>
          <w:b/>
          <w:iCs/>
          <w:highlight w:val="white"/>
          <w:lang w:eastAsia="ko-KR"/>
        </w:rPr>
      </w:pPr>
    </w:p>
    <w:p w14:paraId="495AB697" w14:textId="5C729900" w:rsidR="007964BA" w:rsidRDefault="007964BA" w:rsidP="0023747C">
      <w:pPr>
        <w:widowControl w:val="0"/>
        <w:autoSpaceDE w:val="0"/>
        <w:autoSpaceDN w:val="0"/>
        <w:adjustRightInd w:val="0"/>
        <w:ind w:firstLine="0"/>
        <w:rPr>
          <w:rFonts w:eastAsia="MS Mincho"/>
          <w:b/>
          <w:iCs/>
          <w:highlight w:val="white"/>
          <w:lang w:eastAsia="ko-KR"/>
        </w:rPr>
      </w:pPr>
    </w:p>
    <w:p w14:paraId="1841995F" w14:textId="02651A75" w:rsidR="007964BA" w:rsidRDefault="007964BA" w:rsidP="0023747C">
      <w:pPr>
        <w:widowControl w:val="0"/>
        <w:autoSpaceDE w:val="0"/>
        <w:autoSpaceDN w:val="0"/>
        <w:adjustRightInd w:val="0"/>
        <w:ind w:firstLine="0"/>
        <w:rPr>
          <w:rFonts w:eastAsia="MS Mincho"/>
          <w:b/>
          <w:iCs/>
          <w:highlight w:val="white"/>
          <w:lang w:eastAsia="ko-KR"/>
        </w:rPr>
      </w:pPr>
    </w:p>
    <w:p w14:paraId="137E7480" w14:textId="60BC61DB" w:rsidR="007964BA" w:rsidRDefault="007964BA" w:rsidP="0023747C">
      <w:pPr>
        <w:widowControl w:val="0"/>
        <w:autoSpaceDE w:val="0"/>
        <w:autoSpaceDN w:val="0"/>
        <w:adjustRightInd w:val="0"/>
        <w:ind w:firstLine="0"/>
        <w:rPr>
          <w:rFonts w:eastAsia="MS Mincho"/>
          <w:b/>
          <w:iCs/>
          <w:highlight w:val="white"/>
          <w:lang w:eastAsia="ko-KR"/>
        </w:rPr>
      </w:pPr>
    </w:p>
    <w:p w14:paraId="17E366C6" w14:textId="6B642B0F" w:rsidR="002F411F" w:rsidRDefault="007964BA" w:rsidP="0023747C">
      <w:pPr>
        <w:widowControl w:val="0"/>
        <w:autoSpaceDE w:val="0"/>
        <w:autoSpaceDN w:val="0"/>
        <w:adjustRightInd w:val="0"/>
        <w:ind w:firstLine="0"/>
        <w:rPr>
          <w:rFonts w:eastAsia="MS Mincho"/>
          <w:bCs/>
          <w:iCs/>
          <w:lang w:eastAsia="ko-KR"/>
        </w:rPr>
      </w:pPr>
      <w:r>
        <w:rPr>
          <w:rFonts w:eastAsia="MS Mincho"/>
          <w:bCs/>
          <w:iCs/>
          <w:lang w:eastAsia="ko-KR"/>
        </w:rPr>
        <w:tab/>
      </w:r>
      <w:r w:rsidRPr="007964BA">
        <w:rPr>
          <w:rFonts w:eastAsia="MS Mincho"/>
          <w:bCs/>
          <w:iCs/>
          <w:lang w:eastAsia="ko-KR"/>
        </w:rPr>
        <w:t>GLS (AUC 0.74) has a moderate predictive value for MACE events, higher than VAC (AUC 0.63).</w:t>
      </w:r>
    </w:p>
    <w:p w14:paraId="58A3CDAE" w14:textId="43550A21" w:rsidR="007964BA" w:rsidRDefault="007964BA" w:rsidP="002F411F">
      <w:pPr>
        <w:widowControl w:val="0"/>
        <w:autoSpaceDE w:val="0"/>
        <w:autoSpaceDN w:val="0"/>
        <w:adjustRightInd w:val="0"/>
        <w:ind w:firstLine="0"/>
        <w:jc w:val="center"/>
        <w:rPr>
          <w:rFonts w:eastAsia="MS Mincho"/>
          <w:bCs/>
          <w:iCs/>
          <w:lang w:eastAsia="ko-KR"/>
        </w:rPr>
      </w:pPr>
      <w:r>
        <w:rPr>
          <w:rFonts w:eastAsia="MS Mincho"/>
          <w:bCs/>
          <w:iCs/>
          <w:lang w:eastAsia="ko-KR"/>
        </w:rPr>
        <w:t>Table 3.10. Relationship between VAC and GLS scores at admission and major cardiovascular events.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363"/>
        <w:gridCol w:w="1024"/>
        <w:gridCol w:w="1145"/>
        <w:gridCol w:w="1157"/>
        <w:gridCol w:w="711"/>
      </w:tblGrid>
      <w:tr w:rsidR="002F411F" w:rsidRPr="002F411F" w14:paraId="578B1F19" w14:textId="77777777" w:rsidTr="002F411F">
        <w:trPr>
          <w:jc w:val="center"/>
        </w:trPr>
        <w:tc>
          <w:tcPr>
            <w:tcW w:w="554" w:type="pct"/>
            <w:vAlign w:val="center"/>
          </w:tcPr>
          <w:p w14:paraId="51C00141"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Index</w:t>
            </w:r>
          </w:p>
        </w:tc>
        <w:tc>
          <w:tcPr>
            <w:tcW w:w="1304" w:type="pct"/>
            <w:vAlign w:val="center"/>
          </w:tcPr>
          <w:p w14:paraId="4DFD0546"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AUC (95% CI)</w:t>
            </w:r>
          </w:p>
        </w:tc>
        <w:tc>
          <w:tcPr>
            <w:tcW w:w="725" w:type="pct"/>
            <w:vAlign w:val="center"/>
          </w:tcPr>
          <w:p w14:paraId="7EC02ABD"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val="vi-VN" w:eastAsia="ko-KR"/>
              </w:rPr>
              <w:t xml:space="preserve">Crossing </w:t>
            </w:r>
            <w:r w:rsidRPr="002F411F">
              <w:rPr>
                <w:rFonts w:eastAsia="MS Mincho"/>
                <w:b/>
                <w:bCs/>
                <w:i/>
                <w:iCs/>
                <w:highlight w:val="white"/>
                <w:lang w:eastAsia="ko-KR"/>
              </w:rPr>
              <w:t>point​</w:t>
            </w:r>
          </w:p>
        </w:tc>
        <w:tc>
          <w:tcPr>
            <w:tcW w:w="856" w:type="pct"/>
            <w:vAlign w:val="center"/>
          </w:tcPr>
          <w:p w14:paraId="2D348C79"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Sensitivity (%)</w:t>
            </w:r>
          </w:p>
        </w:tc>
        <w:tc>
          <w:tcPr>
            <w:tcW w:w="983" w:type="pct"/>
            <w:vAlign w:val="center"/>
          </w:tcPr>
          <w:p w14:paraId="53FDC284"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Specificity (%)</w:t>
            </w:r>
          </w:p>
        </w:tc>
        <w:tc>
          <w:tcPr>
            <w:tcW w:w="579" w:type="pct"/>
            <w:vAlign w:val="center"/>
          </w:tcPr>
          <w:p w14:paraId="491C2382"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p</w:t>
            </w:r>
          </w:p>
        </w:tc>
      </w:tr>
      <w:tr w:rsidR="002F411F" w:rsidRPr="002F411F" w14:paraId="32B79CAD" w14:textId="77777777" w:rsidTr="002F411F">
        <w:trPr>
          <w:jc w:val="center"/>
        </w:trPr>
        <w:tc>
          <w:tcPr>
            <w:tcW w:w="554" w:type="pct"/>
            <w:vAlign w:val="center"/>
          </w:tcPr>
          <w:p w14:paraId="0F34D901" w14:textId="77777777" w:rsidR="002F411F" w:rsidRPr="002F411F" w:rsidRDefault="002F411F" w:rsidP="002F411F">
            <w:pPr>
              <w:widowControl w:val="0"/>
              <w:autoSpaceDE w:val="0"/>
              <w:autoSpaceDN w:val="0"/>
              <w:adjustRightInd w:val="0"/>
              <w:spacing w:line="240" w:lineRule="auto"/>
              <w:ind w:firstLine="0"/>
              <w:rPr>
                <w:rFonts w:eastAsia="MS Mincho"/>
                <w:bCs/>
                <w:iCs/>
                <w:highlight w:val="white"/>
                <w:lang w:eastAsia="ko-KR"/>
              </w:rPr>
            </w:pPr>
            <w:r w:rsidRPr="002F411F">
              <w:rPr>
                <w:rFonts w:eastAsia="MS Mincho"/>
                <w:bCs/>
                <w:iCs/>
                <w:highlight w:val="white"/>
                <w:lang w:eastAsia="ko-KR"/>
              </w:rPr>
              <w:t>GLS</w:t>
            </w:r>
          </w:p>
        </w:tc>
        <w:tc>
          <w:tcPr>
            <w:tcW w:w="1304" w:type="pct"/>
            <w:vAlign w:val="center"/>
          </w:tcPr>
          <w:p w14:paraId="02AA727D" w14:textId="5FF6E7B8" w:rsid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0.74</w:t>
            </w:r>
          </w:p>
          <w:p w14:paraId="7975A372" w14:textId="09EA7580"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(0.63 – 0.84)</w:t>
            </w:r>
          </w:p>
        </w:tc>
        <w:tc>
          <w:tcPr>
            <w:tcW w:w="725" w:type="pct"/>
            <w:vAlign w:val="center"/>
          </w:tcPr>
          <w:p w14:paraId="310C5370"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-12.4</w:t>
            </w:r>
          </w:p>
        </w:tc>
        <w:tc>
          <w:tcPr>
            <w:tcW w:w="856" w:type="pct"/>
            <w:vAlign w:val="center"/>
          </w:tcPr>
          <w:p w14:paraId="40E9AF74" w14:textId="0702507B"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90</w:t>
            </w:r>
          </w:p>
        </w:tc>
        <w:tc>
          <w:tcPr>
            <w:tcW w:w="983" w:type="pct"/>
            <w:vAlign w:val="center"/>
          </w:tcPr>
          <w:p w14:paraId="5FFCBEB8"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50</w:t>
            </w:r>
          </w:p>
        </w:tc>
        <w:tc>
          <w:tcPr>
            <w:tcW w:w="579" w:type="pct"/>
            <w:vAlign w:val="center"/>
          </w:tcPr>
          <w:p w14:paraId="7E2D80EA" w14:textId="77777777" w:rsidR="002F411F" w:rsidRPr="002F411F" w:rsidRDefault="002F411F" w:rsidP="002F411F">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0.001</w:t>
            </w:r>
          </w:p>
        </w:tc>
      </w:tr>
      <w:tr w:rsidR="002F411F" w:rsidRPr="002F411F" w14:paraId="37BFD42A" w14:textId="77777777" w:rsidTr="002F411F">
        <w:trPr>
          <w:jc w:val="center"/>
        </w:trPr>
        <w:tc>
          <w:tcPr>
            <w:tcW w:w="554" w:type="pct"/>
            <w:vAlign w:val="center"/>
          </w:tcPr>
          <w:p w14:paraId="49026280" w14:textId="77777777" w:rsidR="002F411F" w:rsidRPr="002F411F" w:rsidRDefault="002F411F" w:rsidP="002F411F">
            <w:pPr>
              <w:widowControl w:val="0"/>
              <w:autoSpaceDE w:val="0"/>
              <w:autoSpaceDN w:val="0"/>
              <w:adjustRightInd w:val="0"/>
              <w:spacing w:line="240" w:lineRule="auto"/>
              <w:ind w:firstLine="0"/>
              <w:rPr>
                <w:rFonts w:eastAsia="MS Mincho"/>
                <w:bCs/>
                <w:iCs/>
                <w:highlight w:val="white"/>
                <w:lang w:eastAsia="ko-KR"/>
              </w:rPr>
            </w:pPr>
            <w:r w:rsidRPr="002F411F">
              <w:rPr>
                <w:rFonts w:eastAsia="MS Mincho"/>
                <w:bCs/>
                <w:iCs/>
                <w:highlight w:val="white"/>
                <w:lang w:eastAsia="ko-KR"/>
              </w:rPr>
              <w:t>VAC</w:t>
            </w:r>
          </w:p>
        </w:tc>
        <w:tc>
          <w:tcPr>
            <w:tcW w:w="1304" w:type="pct"/>
            <w:vAlign w:val="center"/>
          </w:tcPr>
          <w:p w14:paraId="77976B75" w14:textId="77777777" w:rsid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0.63</w:t>
            </w:r>
          </w:p>
          <w:p w14:paraId="7B89B78A" w14:textId="1E247489"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(0.5 – 0.76)</w:t>
            </w:r>
          </w:p>
        </w:tc>
        <w:tc>
          <w:tcPr>
            <w:tcW w:w="725" w:type="pct"/>
            <w:vAlign w:val="center"/>
          </w:tcPr>
          <w:p w14:paraId="6D5330AD"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0.57</w:t>
            </w:r>
          </w:p>
        </w:tc>
        <w:tc>
          <w:tcPr>
            <w:tcW w:w="856" w:type="pct"/>
            <w:vAlign w:val="center"/>
          </w:tcPr>
          <w:p w14:paraId="2B7F4D51"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80</w:t>
            </w:r>
          </w:p>
        </w:tc>
        <w:tc>
          <w:tcPr>
            <w:tcW w:w="983" w:type="pct"/>
            <w:vAlign w:val="center"/>
          </w:tcPr>
          <w:p w14:paraId="4DC5E8A1"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46</w:t>
            </w:r>
          </w:p>
        </w:tc>
        <w:tc>
          <w:tcPr>
            <w:tcW w:w="579" w:type="pct"/>
            <w:vAlign w:val="center"/>
          </w:tcPr>
          <w:p w14:paraId="3C7A37EA"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0.06</w:t>
            </w:r>
          </w:p>
        </w:tc>
      </w:tr>
    </w:tbl>
    <w:p w14:paraId="32679E9E" w14:textId="210BC607" w:rsidR="007964BA" w:rsidRPr="007964BA" w:rsidRDefault="002F411F" w:rsidP="0023747C">
      <w:pPr>
        <w:widowControl w:val="0"/>
        <w:autoSpaceDE w:val="0"/>
        <w:autoSpaceDN w:val="0"/>
        <w:adjustRightInd w:val="0"/>
        <w:ind w:firstLine="0"/>
        <w:rPr>
          <w:rFonts w:eastAsia="MS Mincho"/>
          <w:bCs/>
          <w:iCs/>
          <w:highlight w:val="white"/>
          <w:lang w:eastAsia="ko-KR"/>
        </w:rPr>
      </w:pPr>
      <w:r w:rsidRPr="002F411F">
        <w:rPr>
          <w:rFonts w:eastAsia="MS Mincho"/>
          <w:bCs/>
          <w:iCs/>
          <w:lang w:eastAsia="ko-KR"/>
        </w:rPr>
        <w:t>With a GLS cutoff point of -12.4 (sensitivity 90%, specificity 50%), it has predictive value for major cardiovascular events 12 months after myocardial infarction, p = 0.001.</w:t>
      </w:r>
    </w:p>
    <w:p w14:paraId="1458DE3C" w14:textId="580E07C7" w:rsidR="007964BA" w:rsidRPr="002F411F" w:rsidRDefault="002F411F" w:rsidP="002F411F">
      <w:pPr>
        <w:widowControl w:val="0"/>
        <w:autoSpaceDE w:val="0"/>
        <w:autoSpaceDN w:val="0"/>
        <w:adjustRightInd w:val="0"/>
        <w:ind w:firstLine="0"/>
        <w:jc w:val="center"/>
        <w:rPr>
          <w:rFonts w:eastAsia="MS Mincho"/>
          <w:bCs/>
          <w:iCs/>
          <w:highlight w:val="white"/>
          <w:lang w:eastAsia="ko-KR"/>
        </w:rPr>
      </w:pPr>
      <w:r>
        <w:rPr>
          <w:rFonts w:eastAsia="MS Mincho"/>
          <w:bCs/>
          <w:iCs/>
          <w:highlight w:val="white"/>
          <w:lang w:eastAsia="ko-KR"/>
        </w:rPr>
        <w:t xml:space="preserve">Table 3.11. </w:t>
      </w:r>
      <w:r w:rsidRPr="002F411F">
        <w:rPr>
          <w:rFonts w:eastAsia="MS Mincho"/>
          <w:bCs/>
          <w:iCs/>
          <w:lang w:eastAsia="ko-KR"/>
        </w:rPr>
        <w:t>Multivariate Logistic Regression Analysis Assessing the Influence of Several Indicators on Cardiovascular Events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864"/>
        <w:gridCol w:w="1792"/>
        <w:gridCol w:w="1098"/>
      </w:tblGrid>
      <w:tr w:rsidR="002F411F" w:rsidRPr="002F411F" w14:paraId="508FEE5C" w14:textId="77777777" w:rsidTr="002F411F">
        <w:trPr>
          <w:jc w:val="center"/>
        </w:trPr>
        <w:tc>
          <w:tcPr>
            <w:tcW w:w="1944" w:type="pct"/>
            <w:vAlign w:val="center"/>
          </w:tcPr>
          <w:p w14:paraId="58989526"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Index</w:t>
            </w:r>
          </w:p>
        </w:tc>
        <w:tc>
          <w:tcPr>
            <w:tcW w:w="703" w:type="pct"/>
            <w:vAlign w:val="center"/>
          </w:tcPr>
          <w:p w14:paraId="709EBCD3"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OR</w:t>
            </w:r>
          </w:p>
        </w:tc>
        <w:tc>
          <w:tcPr>
            <w:tcW w:w="1459" w:type="pct"/>
            <w:vAlign w:val="center"/>
          </w:tcPr>
          <w:p w14:paraId="14BEEBAF"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95% CI</w:t>
            </w:r>
          </w:p>
        </w:tc>
        <w:tc>
          <w:tcPr>
            <w:tcW w:w="894" w:type="pct"/>
            <w:vAlign w:val="center"/>
          </w:tcPr>
          <w:p w14:paraId="7B6443F4"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p</w:t>
            </w:r>
          </w:p>
        </w:tc>
      </w:tr>
      <w:tr w:rsidR="002F411F" w:rsidRPr="002F411F" w14:paraId="35AAAF13" w14:textId="77777777" w:rsidTr="002F411F">
        <w:trPr>
          <w:jc w:val="center"/>
        </w:trPr>
        <w:tc>
          <w:tcPr>
            <w:tcW w:w="1944" w:type="pct"/>
            <w:vAlign w:val="center"/>
          </w:tcPr>
          <w:p w14:paraId="3CB8300A"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Year old</w:t>
            </w:r>
          </w:p>
        </w:tc>
        <w:tc>
          <w:tcPr>
            <w:tcW w:w="703" w:type="pct"/>
            <w:vAlign w:val="center"/>
          </w:tcPr>
          <w:p w14:paraId="0117C9B3"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1.12</w:t>
            </w:r>
          </w:p>
        </w:tc>
        <w:tc>
          <w:tcPr>
            <w:tcW w:w="1459" w:type="pct"/>
            <w:vAlign w:val="center"/>
          </w:tcPr>
          <w:p w14:paraId="08A1983F"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1.01 – 1.23</w:t>
            </w:r>
          </w:p>
        </w:tc>
        <w:tc>
          <w:tcPr>
            <w:tcW w:w="894" w:type="pct"/>
            <w:vAlign w:val="center"/>
          </w:tcPr>
          <w:p w14:paraId="3A5A4F8D"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0.02</w:t>
            </w:r>
          </w:p>
        </w:tc>
      </w:tr>
      <w:tr w:rsidR="002F411F" w:rsidRPr="002F411F" w14:paraId="06111681" w14:textId="77777777" w:rsidTr="002F411F">
        <w:trPr>
          <w:jc w:val="center"/>
        </w:trPr>
        <w:tc>
          <w:tcPr>
            <w:tcW w:w="1944" w:type="pct"/>
            <w:vAlign w:val="center"/>
          </w:tcPr>
          <w:p w14:paraId="700B3BC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Men</w:t>
            </w:r>
          </w:p>
        </w:tc>
        <w:tc>
          <w:tcPr>
            <w:tcW w:w="703" w:type="pct"/>
            <w:vAlign w:val="center"/>
          </w:tcPr>
          <w:p w14:paraId="7A010CE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0.05</w:t>
            </w:r>
          </w:p>
        </w:tc>
        <w:tc>
          <w:tcPr>
            <w:tcW w:w="1459" w:type="pct"/>
            <w:vAlign w:val="center"/>
          </w:tcPr>
          <w:p w14:paraId="155891A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0.004 – 0.79</w:t>
            </w:r>
          </w:p>
        </w:tc>
        <w:tc>
          <w:tcPr>
            <w:tcW w:w="894" w:type="pct"/>
            <w:vAlign w:val="center"/>
          </w:tcPr>
          <w:p w14:paraId="01D93D4B"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0.03</w:t>
            </w:r>
          </w:p>
        </w:tc>
      </w:tr>
      <w:tr w:rsidR="002F411F" w:rsidRPr="002F411F" w14:paraId="5065AC50" w14:textId="77777777" w:rsidTr="002F411F">
        <w:trPr>
          <w:jc w:val="center"/>
        </w:trPr>
        <w:tc>
          <w:tcPr>
            <w:tcW w:w="1944" w:type="pct"/>
            <w:vAlign w:val="center"/>
          </w:tcPr>
          <w:p w14:paraId="58990571"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BMI</w:t>
            </w:r>
          </w:p>
        </w:tc>
        <w:tc>
          <w:tcPr>
            <w:tcW w:w="703" w:type="pct"/>
            <w:vAlign w:val="center"/>
          </w:tcPr>
          <w:p w14:paraId="0172A1D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1.1</w:t>
            </w:r>
          </w:p>
        </w:tc>
        <w:tc>
          <w:tcPr>
            <w:tcW w:w="1459" w:type="pct"/>
            <w:vAlign w:val="center"/>
          </w:tcPr>
          <w:p w14:paraId="25B6E7C8"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0.8 – 1.5</w:t>
            </w:r>
          </w:p>
        </w:tc>
        <w:tc>
          <w:tcPr>
            <w:tcW w:w="894" w:type="pct"/>
            <w:vAlign w:val="center"/>
          </w:tcPr>
          <w:p w14:paraId="74E6AC1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0.53</w:t>
            </w:r>
          </w:p>
        </w:tc>
      </w:tr>
      <w:tr w:rsidR="002F411F" w:rsidRPr="002F411F" w14:paraId="19211FA4" w14:textId="77777777" w:rsidTr="002F411F">
        <w:trPr>
          <w:jc w:val="center"/>
        </w:trPr>
        <w:tc>
          <w:tcPr>
            <w:tcW w:w="1944" w:type="pct"/>
            <w:vAlign w:val="center"/>
          </w:tcPr>
          <w:p w14:paraId="67905E2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History of diabetes</w:t>
            </w:r>
          </w:p>
        </w:tc>
        <w:tc>
          <w:tcPr>
            <w:tcW w:w="703" w:type="pct"/>
            <w:vAlign w:val="center"/>
          </w:tcPr>
          <w:p w14:paraId="28786631"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0.002</w:t>
            </w:r>
          </w:p>
        </w:tc>
        <w:tc>
          <w:tcPr>
            <w:tcW w:w="1459" w:type="pct"/>
            <w:vAlign w:val="center"/>
          </w:tcPr>
          <w:p w14:paraId="2DF53AD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 – 0.22</w:t>
            </w:r>
          </w:p>
        </w:tc>
        <w:tc>
          <w:tcPr>
            <w:tcW w:w="894" w:type="pct"/>
            <w:vAlign w:val="center"/>
          </w:tcPr>
          <w:p w14:paraId="33DF5087"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0.01</w:t>
            </w:r>
          </w:p>
        </w:tc>
      </w:tr>
      <w:tr w:rsidR="002F411F" w:rsidRPr="002F411F" w14:paraId="1FC6C6C8" w14:textId="77777777" w:rsidTr="002F411F">
        <w:trPr>
          <w:jc w:val="center"/>
        </w:trPr>
        <w:tc>
          <w:tcPr>
            <w:tcW w:w="1944" w:type="pct"/>
            <w:vAlign w:val="center"/>
          </w:tcPr>
          <w:p w14:paraId="26C78CD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Troponin I</w:t>
            </w:r>
          </w:p>
        </w:tc>
        <w:tc>
          <w:tcPr>
            <w:tcW w:w="703" w:type="pct"/>
            <w:vAlign w:val="center"/>
          </w:tcPr>
          <w:p w14:paraId="507267F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w:t>
            </w:r>
          </w:p>
        </w:tc>
        <w:tc>
          <w:tcPr>
            <w:tcW w:w="1459" w:type="pct"/>
            <w:vAlign w:val="center"/>
          </w:tcPr>
          <w:p w14:paraId="500B95D2"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 – 1</w:t>
            </w:r>
          </w:p>
        </w:tc>
        <w:tc>
          <w:tcPr>
            <w:tcW w:w="894" w:type="pct"/>
            <w:vAlign w:val="center"/>
          </w:tcPr>
          <w:p w14:paraId="677F7560"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0.04</w:t>
            </w:r>
          </w:p>
        </w:tc>
      </w:tr>
      <w:tr w:rsidR="002F411F" w:rsidRPr="002F411F" w14:paraId="5D639B1A" w14:textId="77777777" w:rsidTr="002F411F">
        <w:trPr>
          <w:jc w:val="center"/>
        </w:trPr>
        <w:tc>
          <w:tcPr>
            <w:tcW w:w="1944" w:type="pct"/>
            <w:vAlign w:val="center"/>
          </w:tcPr>
          <w:p w14:paraId="27C4B781"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CK-MB</w:t>
            </w:r>
          </w:p>
        </w:tc>
        <w:tc>
          <w:tcPr>
            <w:tcW w:w="703" w:type="pct"/>
            <w:vAlign w:val="center"/>
          </w:tcPr>
          <w:p w14:paraId="40C0A95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1,008</w:t>
            </w:r>
          </w:p>
        </w:tc>
        <w:tc>
          <w:tcPr>
            <w:tcW w:w="1459" w:type="pct"/>
            <w:vAlign w:val="center"/>
          </w:tcPr>
          <w:p w14:paraId="3A2CD0B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0.99 – 1.02</w:t>
            </w:r>
          </w:p>
        </w:tc>
        <w:tc>
          <w:tcPr>
            <w:tcW w:w="894" w:type="pct"/>
            <w:vAlign w:val="center"/>
          </w:tcPr>
          <w:p w14:paraId="644F9DBF"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0.18</w:t>
            </w:r>
          </w:p>
        </w:tc>
      </w:tr>
      <w:tr w:rsidR="002F411F" w:rsidRPr="002F411F" w14:paraId="0828E1A4" w14:textId="77777777" w:rsidTr="002F411F">
        <w:trPr>
          <w:jc w:val="center"/>
        </w:trPr>
        <w:tc>
          <w:tcPr>
            <w:tcW w:w="1944" w:type="pct"/>
            <w:vAlign w:val="center"/>
          </w:tcPr>
          <w:p w14:paraId="514211CE"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Glucose</w:t>
            </w:r>
          </w:p>
        </w:tc>
        <w:tc>
          <w:tcPr>
            <w:tcW w:w="703" w:type="pct"/>
            <w:vAlign w:val="center"/>
          </w:tcPr>
          <w:p w14:paraId="6EB1F21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1.44</w:t>
            </w:r>
          </w:p>
        </w:tc>
        <w:tc>
          <w:tcPr>
            <w:tcW w:w="1459" w:type="pct"/>
            <w:vAlign w:val="center"/>
          </w:tcPr>
          <w:p w14:paraId="3BA21A0D"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1.05 – 1.96</w:t>
            </w:r>
          </w:p>
        </w:tc>
        <w:tc>
          <w:tcPr>
            <w:tcW w:w="894" w:type="pct"/>
            <w:vAlign w:val="center"/>
          </w:tcPr>
          <w:p w14:paraId="54CE448E"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0.02</w:t>
            </w:r>
          </w:p>
        </w:tc>
      </w:tr>
      <w:tr w:rsidR="002F411F" w:rsidRPr="002F411F" w14:paraId="3E1B1089" w14:textId="77777777" w:rsidTr="002F411F">
        <w:trPr>
          <w:jc w:val="center"/>
        </w:trPr>
        <w:tc>
          <w:tcPr>
            <w:tcW w:w="1944" w:type="pct"/>
            <w:vAlign w:val="center"/>
          </w:tcPr>
          <w:p w14:paraId="23651331"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Creatinine</w:t>
            </w:r>
          </w:p>
        </w:tc>
        <w:tc>
          <w:tcPr>
            <w:tcW w:w="703" w:type="pct"/>
            <w:vAlign w:val="center"/>
          </w:tcPr>
          <w:p w14:paraId="779E04A2"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1.03</w:t>
            </w:r>
          </w:p>
        </w:tc>
        <w:tc>
          <w:tcPr>
            <w:tcW w:w="1459" w:type="pct"/>
            <w:vAlign w:val="center"/>
          </w:tcPr>
          <w:p w14:paraId="04249FC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1,002 – 1,059</w:t>
            </w:r>
          </w:p>
        </w:tc>
        <w:tc>
          <w:tcPr>
            <w:tcW w:w="894" w:type="pct"/>
            <w:vAlign w:val="center"/>
          </w:tcPr>
          <w:p w14:paraId="0C1288E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0.03</w:t>
            </w:r>
          </w:p>
        </w:tc>
      </w:tr>
      <w:tr w:rsidR="002F411F" w:rsidRPr="002F411F" w14:paraId="0C77B7DA" w14:textId="77777777" w:rsidTr="002F411F">
        <w:trPr>
          <w:jc w:val="center"/>
        </w:trPr>
        <w:tc>
          <w:tcPr>
            <w:tcW w:w="1944" w:type="pct"/>
            <w:vAlign w:val="center"/>
          </w:tcPr>
          <w:p w14:paraId="2F5632F5"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lastRenderedPageBreak/>
              <w:t>LDL-C</w:t>
            </w:r>
          </w:p>
        </w:tc>
        <w:tc>
          <w:tcPr>
            <w:tcW w:w="703" w:type="pct"/>
            <w:vAlign w:val="center"/>
          </w:tcPr>
          <w:p w14:paraId="18EDBD05"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0.35</w:t>
            </w:r>
          </w:p>
        </w:tc>
        <w:tc>
          <w:tcPr>
            <w:tcW w:w="1459" w:type="pct"/>
            <w:vAlign w:val="center"/>
          </w:tcPr>
          <w:p w14:paraId="73791E63"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0.12 – 0.99</w:t>
            </w:r>
          </w:p>
        </w:tc>
        <w:tc>
          <w:tcPr>
            <w:tcW w:w="894" w:type="pct"/>
            <w:vAlign w:val="center"/>
          </w:tcPr>
          <w:p w14:paraId="088FB74D"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0.04</w:t>
            </w:r>
          </w:p>
        </w:tc>
      </w:tr>
      <w:tr w:rsidR="002F411F" w:rsidRPr="002F411F" w14:paraId="219E144C" w14:textId="77777777" w:rsidTr="002F411F">
        <w:trPr>
          <w:jc w:val="center"/>
        </w:trPr>
        <w:tc>
          <w:tcPr>
            <w:tcW w:w="1944" w:type="pct"/>
            <w:vAlign w:val="center"/>
          </w:tcPr>
          <w:p w14:paraId="67D4E67B"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GOT</w:t>
            </w:r>
          </w:p>
        </w:tc>
        <w:tc>
          <w:tcPr>
            <w:tcW w:w="703" w:type="pct"/>
            <w:vAlign w:val="center"/>
          </w:tcPr>
          <w:p w14:paraId="6D9AF70A"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0.97</w:t>
            </w:r>
          </w:p>
        </w:tc>
        <w:tc>
          <w:tcPr>
            <w:tcW w:w="1459" w:type="pct"/>
            <w:vAlign w:val="center"/>
          </w:tcPr>
          <w:p w14:paraId="6D042C3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0.95 – 1.004</w:t>
            </w:r>
          </w:p>
        </w:tc>
        <w:tc>
          <w:tcPr>
            <w:tcW w:w="894" w:type="pct"/>
            <w:vAlign w:val="center"/>
          </w:tcPr>
          <w:p w14:paraId="54216EA2"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0.1</w:t>
            </w:r>
          </w:p>
        </w:tc>
      </w:tr>
      <w:tr w:rsidR="002F411F" w:rsidRPr="002F411F" w14:paraId="65E695DC" w14:textId="77777777" w:rsidTr="002F411F">
        <w:trPr>
          <w:jc w:val="center"/>
        </w:trPr>
        <w:tc>
          <w:tcPr>
            <w:tcW w:w="1944" w:type="pct"/>
            <w:vAlign w:val="center"/>
          </w:tcPr>
          <w:p w14:paraId="487D5A1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VAC</w:t>
            </w:r>
          </w:p>
        </w:tc>
        <w:tc>
          <w:tcPr>
            <w:tcW w:w="703" w:type="pct"/>
            <w:vAlign w:val="center"/>
          </w:tcPr>
          <w:p w14:paraId="0BF6CE5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35.41</w:t>
            </w:r>
          </w:p>
        </w:tc>
        <w:tc>
          <w:tcPr>
            <w:tcW w:w="1459" w:type="pct"/>
            <w:vAlign w:val="center"/>
          </w:tcPr>
          <w:p w14:paraId="1656EE92"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1.61 – 778.07</w:t>
            </w:r>
          </w:p>
        </w:tc>
        <w:tc>
          <w:tcPr>
            <w:tcW w:w="894" w:type="pct"/>
            <w:vAlign w:val="center"/>
          </w:tcPr>
          <w:p w14:paraId="200B2065"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0.02</w:t>
            </w:r>
          </w:p>
        </w:tc>
      </w:tr>
      <w:tr w:rsidR="002F411F" w:rsidRPr="002F411F" w14:paraId="4FB17C3D" w14:textId="77777777" w:rsidTr="002F411F">
        <w:trPr>
          <w:jc w:val="center"/>
        </w:trPr>
        <w:tc>
          <w:tcPr>
            <w:tcW w:w="1944" w:type="pct"/>
            <w:vAlign w:val="center"/>
          </w:tcPr>
          <w:p w14:paraId="5A100A9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vertAlign w:val="subscript"/>
                <w:lang w:eastAsia="ko-KR"/>
              </w:rPr>
            </w:pPr>
            <w:r w:rsidRPr="002F411F">
              <w:rPr>
                <w:rFonts w:eastAsia="MS Mincho"/>
                <w:iCs/>
                <w:highlight w:val="white"/>
                <w:lang w:eastAsia="ko-KR"/>
              </w:rPr>
              <w:t xml:space="preserve">E </w:t>
            </w:r>
            <w:r w:rsidRPr="002F411F">
              <w:rPr>
                <w:rFonts w:eastAsia="MS Mincho"/>
                <w:iCs/>
                <w:highlight w:val="white"/>
                <w:vertAlign w:val="subscript"/>
                <w:lang w:eastAsia="ko-KR"/>
              </w:rPr>
              <w:t>a</w:t>
            </w:r>
          </w:p>
        </w:tc>
        <w:tc>
          <w:tcPr>
            <w:tcW w:w="703" w:type="pct"/>
            <w:vAlign w:val="center"/>
          </w:tcPr>
          <w:p w14:paraId="34730B63"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0.2</w:t>
            </w:r>
          </w:p>
        </w:tc>
        <w:tc>
          <w:tcPr>
            <w:tcW w:w="1459" w:type="pct"/>
            <w:vAlign w:val="center"/>
          </w:tcPr>
          <w:p w14:paraId="3C88A83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0.06 – 0.64</w:t>
            </w:r>
          </w:p>
        </w:tc>
        <w:tc>
          <w:tcPr>
            <w:tcW w:w="894" w:type="pct"/>
            <w:vAlign w:val="center"/>
          </w:tcPr>
          <w:p w14:paraId="61A9F1E3"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0.007</w:t>
            </w:r>
          </w:p>
        </w:tc>
      </w:tr>
      <w:tr w:rsidR="002F411F" w:rsidRPr="002F411F" w14:paraId="16B4A514" w14:textId="77777777" w:rsidTr="002F411F">
        <w:trPr>
          <w:jc w:val="center"/>
        </w:trPr>
        <w:tc>
          <w:tcPr>
            <w:tcW w:w="1944" w:type="pct"/>
            <w:vAlign w:val="center"/>
          </w:tcPr>
          <w:p w14:paraId="66F803C7"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GLS</w:t>
            </w:r>
          </w:p>
        </w:tc>
        <w:tc>
          <w:tcPr>
            <w:tcW w:w="703" w:type="pct"/>
            <w:vAlign w:val="center"/>
          </w:tcPr>
          <w:p w14:paraId="53B5DE68"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1.86</w:t>
            </w:r>
          </w:p>
        </w:tc>
        <w:tc>
          <w:tcPr>
            <w:tcW w:w="1459" w:type="pct"/>
            <w:vAlign w:val="center"/>
          </w:tcPr>
          <w:p w14:paraId="032211F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1.27 – 2.73</w:t>
            </w:r>
          </w:p>
        </w:tc>
        <w:tc>
          <w:tcPr>
            <w:tcW w:w="894" w:type="pct"/>
            <w:vAlign w:val="center"/>
          </w:tcPr>
          <w:p w14:paraId="4D176CC5"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0.001</w:t>
            </w:r>
          </w:p>
        </w:tc>
      </w:tr>
      <w:tr w:rsidR="002F411F" w:rsidRPr="002F411F" w14:paraId="7BCA317F" w14:textId="77777777" w:rsidTr="002F411F">
        <w:trPr>
          <w:jc w:val="center"/>
        </w:trPr>
        <w:tc>
          <w:tcPr>
            <w:tcW w:w="1944" w:type="pct"/>
            <w:vAlign w:val="center"/>
          </w:tcPr>
          <w:p w14:paraId="2B2D9CC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OPG</w:t>
            </w:r>
          </w:p>
        </w:tc>
        <w:tc>
          <w:tcPr>
            <w:tcW w:w="703" w:type="pct"/>
            <w:vAlign w:val="center"/>
          </w:tcPr>
          <w:p w14:paraId="0FE42DBA"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0.99</w:t>
            </w:r>
          </w:p>
        </w:tc>
        <w:tc>
          <w:tcPr>
            <w:tcW w:w="1459" w:type="pct"/>
            <w:vAlign w:val="center"/>
          </w:tcPr>
          <w:p w14:paraId="3FBAEB3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0.99 – 1.00</w:t>
            </w:r>
          </w:p>
        </w:tc>
        <w:tc>
          <w:tcPr>
            <w:tcW w:w="894" w:type="pct"/>
            <w:vAlign w:val="center"/>
          </w:tcPr>
          <w:p w14:paraId="00DEBB75"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0.04</w:t>
            </w:r>
          </w:p>
        </w:tc>
      </w:tr>
      <w:tr w:rsidR="002F411F" w:rsidRPr="002F411F" w14:paraId="7AA55FA9" w14:textId="77777777" w:rsidTr="002F411F">
        <w:trPr>
          <w:jc w:val="center"/>
        </w:trPr>
        <w:tc>
          <w:tcPr>
            <w:tcW w:w="1944" w:type="pct"/>
            <w:vAlign w:val="center"/>
          </w:tcPr>
          <w:p w14:paraId="16D9C59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MMP - 2</w:t>
            </w:r>
          </w:p>
        </w:tc>
        <w:tc>
          <w:tcPr>
            <w:tcW w:w="703" w:type="pct"/>
            <w:vAlign w:val="center"/>
          </w:tcPr>
          <w:p w14:paraId="3B7EA30D"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0.99</w:t>
            </w:r>
          </w:p>
        </w:tc>
        <w:tc>
          <w:tcPr>
            <w:tcW w:w="1459" w:type="pct"/>
            <w:vAlign w:val="center"/>
          </w:tcPr>
          <w:p w14:paraId="0441F81A"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0.97 – 1.01</w:t>
            </w:r>
          </w:p>
        </w:tc>
        <w:tc>
          <w:tcPr>
            <w:tcW w:w="894" w:type="pct"/>
            <w:vAlign w:val="center"/>
          </w:tcPr>
          <w:p w14:paraId="71D7B0C5"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0.33</w:t>
            </w:r>
          </w:p>
        </w:tc>
      </w:tr>
    </w:tbl>
    <w:p w14:paraId="61021493" w14:textId="6995ED34" w:rsidR="007964BA" w:rsidRPr="002F411F" w:rsidRDefault="002F411F" w:rsidP="0023747C">
      <w:pPr>
        <w:widowControl w:val="0"/>
        <w:autoSpaceDE w:val="0"/>
        <w:autoSpaceDN w:val="0"/>
        <w:adjustRightInd w:val="0"/>
        <w:ind w:firstLine="0"/>
        <w:rPr>
          <w:rFonts w:eastAsia="MS Mincho"/>
          <w:bCs/>
          <w:iCs/>
          <w:highlight w:val="white"/>
          <w:lang w:eastAsia="ko-KR"/>
        </w:rPr>
      </w:pPr>
      <w:r>
        <w:rPr>
          <w:rFonts w:eastAsia="MS Mincho"/>
          <w:bCs/>
          <w:iCs/>
          <w:lang w:eastAsia="ko-KR"/>
        </w:rPr>
        <w:tab/>
      </w:r>
      <w:r w:rsidRPr="002F411F">
        <w:rPr>
          <w:rFonts w:eastAsia="MS Mincho"/>
          <w:bCs/>
          <w:iCs/>
          <w:lang w:eastAsia="ko-KR"/>
        </w:rPr>
        <w:t>Multivariate Logistic regression analysis found that VAC, Ea, GLS, and OPG concentration were significant predictors of adverse cardiovascular events following acute myocardial infarction (p &lt; 0.05).</w:t>
      </w:r>
    </w:p>
    <w:p w14:paraId="47843F8B" w14:textId="7E991224" w:rsidR="007964BA" w:rsidRPr="002F411F" w:rsidRDefault="002F411F" w:rsidP="002F411F">
      <w:pPr>
        <w:widowControl w:val="0"/>
        <w:autoSpaceDE w:val="0"/>
        <w:autoSpaceDN w:val="0"/>
        <w:adjustRightInd w:val="0"/>
        <w:ind w:firstLine="0"/>
        <w:jc w:val="center"/>
        <w:rPr>
          <w:rFonts w:eastAsia="MS Mincho"/>
          <w:bCs/>
          <w:iCs/>
          <w:highlight w:val="white"/>
          <w:lang w:eastAsia="ko-KR"/>
        </w:rPr>
      </w:pPr>
      <w:r>
        <w:rPr>
          <w:rFonts w:eastAsia="MS Mincho"/>
          <w:bCs/>
          <w:iCs/>
          <w:highlight w:val="white"/>
          <w:lang w:eastAsia="ko-KR"/>
        </w:rPr>
        <w:t xml:space="preserve">Figure 3.5. </w:t>
      </w:r>
      <w:r w:rsidRPr="003E4F13">
        <w:t>ROC curve predicting the event of re-hospitalization due to heart failure after MI based on VAC and GLS indices at admission.</w:t>
      </w:r>
    </w:p>
    <w:p w14:paraId="40E6FD63" w14:textId="2E995FB7" w:rsidR="007964BA" w:rsidRDefault="002F411F" w:rsidP="0023747C">
      <w:pPr>
        <w:widowControl w:val="0"/>
        <w:autoSpaceDE w:val="0"/>
        <w:autoSpaceDN w:val="0"/>
        <w:adjustRightInd w:val="0"/>
        <w:ind w:firstLine="0"/>
        <w:rPr>
          <w:rFonts w:eastAsia="MS Mincho"/>
          <w:b/>
          <w:iCs/>
          <w:highlight w:val="white"/>
          <w:lang w:eastAsia="ko-KR"/>
        </w:rPr>
      </w:pPr>
      <w:bookmarkStart w:id="11" w:name="_Toc205919622"/>
      <w:r w:rsidRPr="008B779F">
        <w:rPr>
          <w:rFonts w:eastAsia="Calibri"/>
          <w:i/>
          <w:noProof/>
          <w:color w:val="000000"/>
        </w:rPr>
        <w:drawing>
          <wp:inline distT="0" distB="0" distL="0" distR="0" wp14:anchorId="4CF9C0B4" wp14:editId="4132FF2E">
            <wp:extent cx="3906409" cy="1835727"/>
            <wp:effectExtent l="0" t="0" r="0" b="0"/>
            <wp:docPr id="240608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608645" name=""/>
                    <pic:cNvPicPr/>
                  </pic:nvPicPr>
                  <pic:blipFill>
                    <a:blip r:embed="rId16"/>
                    <a:stretch>
                      <a:fillRect/>
                    </a:stretch>
                  </pic:blipFill>
                  <pic:spPr>
                    <a:xfrm>
                      <a:off x="0" y="0"/>
                      <a:ext cx="3925461" cy="1844680"/>
                    </a:xfrm>
                    <a:prstGeom prst="rect">
                      <a:avLst/>
                    </a:prstGeom>
                  </pic:spPr>
                </pic:pic>
              </a:graphicData>
            </a:graphic>
          </wp:inline>
        </w:drawing>
      </w:r>
      <w:bookmarkEnd w:id="11"/>
    </w:p>
    <w:p w14:paraId="3B480816" w14:textId="0410CBD6" w:rsidR="002F411F" w:rsidRPr="002F411F" w:rsidRDefault="002F411F" w:rsidP="002F411F">
      <w:pPr>
        <w:widowControl w:val="0"/>
        <w:autoSpaceDE w:val="0"/>
        <w:autoSpaceDN w:val="0"/>
        <w:adjustRightInd w:val="0"/>
        <w:ind w:firstLine="0"/>
        <w:rPr>
          <w:rFonts w:eastAsia="MS Mincho"/>
          <w:bCs/>
          <w:iCs/>
          <w:highlight w:val="white"/>
          <w:lang w:eastAsia="ko-KR"/>
        </w:rPr>
      </w:pPr>
      <w:r>
        <w:rPr>
          <w:rFonts w:eastAsia="MS Mincho"/>
          <w:bCs/>
          <w:iCs/>
          <w:lang w:eastAsia="ko-KR"/>
        </w:rPr>
        <w:tab/>
      </w:r>
      <w:r w:rsidRPr="002F411F">
        <w:rPr>
          <w:rFonts w:eastAsia="MS Mincho"/>
          <w:bCs/>
          <w:iCs/>
          <w:lang w:eastAsia="ko-KR"/>
        </w:rPr>
        <w:t>GLS (AUC 0.85) had a stronger predictive value for re-hospitalization due to heart failure compared to VAC (AUC 0.68).</w:t>
      </w:r>
    </w:p>
    <w:p w14:paraId="0529EB23" w14:textId="7EF81066" w:rsidR="002F411F" w:rsidRPr="002F411F" w:rsidRDefault="002F411F" w:rsidP="002F411F">
      <w:pPr>
        <w:widowControl w:val="0"/>
        <w:autoSpaceDE w:val="0"/>
        <w:autoSpaceDN w:val="0"/>
        <w:adjustRightInd w:val="0"/>
        <w:ind w:firstLine="0"/>
        <w:jc w:val="center"/>
        <w:rPr>
          <w:rFonts w:eastAsia="MS Mincho"/>
          <w:bCs/>
          <w:iCs/>
          <w:highlight w:val="white"/>
          <w:lang w:eastAsia="ko-KR"/>
        </w:rPr>
      </w:pPr>
      <w:r>
        <w:rPr>
          <w:rFonts w:eastAsia="MS Mincho"/>
          <w:bCs/>
          <w:iCs/>
          <w:highlight w:val="white"/>
          <w:lang w:eastAsia="ko-KR"/>
        </w:rPr>
        <w:t xml:space="preserve">Table 3.1 </w:t>
      </w:r>
      <w:r w:rsidR="00AE0B73">
        <w:rPr>
          <w:rFonts w:eastAsia="MS Mincho"/>
          <w:bCs/>
          <w:iCs/>
          <w:highlight w:val="white"/>
          <w:lang w:eastAsia="ko-KR"/>
        </w:rPr>
        <w:t xml:space="preserve">2. </w:t>
      </w:r>
      <w:r w:rsidRPr="00343B07">
        <w:t>Relationship between VAC and GLS indices at admission and the event of readmission for heart failure after myocardial infarction.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9"/>
        <w:gridCol w:w="1496"/>
        <w:gridCol w:w="2191"/>
        <w:gridCol w:w="758"/>
      </w:tblGrid>
      <w:tr w:rsidR="002F411F" w:rsidRPr="002F411F" w14:paraId="57D6FD0F" w14:textId="77777777" w:rsidTr="00AE0B73">
        <w:trPr>
          <w:jc w:val="center"/>
        </w:trPr>
        <w:tc>
          <w:tcPr>
            <w:tcW w:w="690" w:type="pct"/>
            <w:vAlign w:val="center"/>
          </w:tcPr>
          <w:p w14:paraId="48E61ACC"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Index</w:t>
            </w:r>
          </w:p>
        </w:tc>
        <w:tc>
          <w:tcPr>
            <w:tcW w:w="691" w:type="pct"/>
            <w:vAlign w:val="center"/>
          </w:tcPr>
          <w:p w14:paraId="3E9ECD17"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AUC</w:t>
            </w:r>
          </w:p>
        </w:tc>
        <w:tc>
          <w:tcPr>
            <w:tcW w:w="1218" w:type="pct"/>
            <w:vAlign w:val="center"/>
          </w:tcPr>
          <w:p w14:paraId="6D2EC20C"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95% CI</w:t>
            </w:r>
          </w:p>
        </w:tc>
        <w:tc>
          <w:tcPr>
            <w:tcW w:w="1784" w:type="pct"/>
            <w:vAlign w:val="center"/>
          </w:tcPr>
          <w:p w14:paraId="35D72645"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val="vi-VN" w:eastAsia="ko-KR"/>
              </w:rPr>
              <w:t xml:space="preserve">-off </w:t>
            </w:r>
            <w:r w:rsidRPr="002F411F">
              <w:rPr>
                <w:rFonts w:eastAsia="MS Mincho"/>
                <w:b/>
                <w:bCs/>
                <w:i/>
                <w:iCs/>
                <w:highlight w:val="white"/>
                <w:lang w:eastAsia="ko-KR"/>
              </w:rPr>
              <w:t>point (Se-Sp%)</w:t>
            </w:r>
          </w:p>
        </w:tc>
        <w:tc>
          <w:tcPr>
            <w:tcW w:w="617" w:type="pct"/>
            <w:vAlign w:val="center"/>
          </w:tcPr>
          <w:p w14:paraId="19E3EBBA"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p</w:t>
            </w:r>
          </w:p>
        </w:tc>
      </w:tr>
      <w:tr w:rsidR="002F411F" w:rsidRPr="002F411F" w14:paraId="61A681DD" w14:textId="77777777" w:rsidTr="00AE0B73">
        <w:trPr>
          <w:jc w:val="center"/>
        </w:trPr>
        <w:tc>
          <w:tcPr>
            <w:tcW w:w="690" w:type="pct"/>
            <w:vAlign w:val="center"/>
          </w:tcPr>
          <w:p w14:paraId="6DB71505"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GLS</w:t>
            </w:r>
          </w:p>
        </w:tc>
        <w:tc>
          <w:tcPr>
            <w:tcW w:w="691" w:type="pct"/>
            <w:vAlign w:val="center"/>
          </w:tcPr>
          <w:p w14:paraId="23AE423A"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0.85</w:t>
            </w:r>
          </w:p>
        </w:tc>
        <w:tc>
          <w:tcPr>
            <w:tcW w:w="1218" w:type="pct"/>
            <w:vAlign w:val="center"/>
          </w:tcPr>
          <w:p w14:paraId="6F2F63A3"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0.76 – 0.94</w:t>
            </w:r>
          </w:p>
        </w:tc>
        <w:tc>
          <w:tcPr>
            <w:tcW w:w="1784" w:type="pct"/>
            <w:vAlign w:val="center"/>
          </w:tcPr>
          <w:p w14:paraId="080E69BE"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-11.4 (100 – 60.2)</w:t>
            </w:r>
          </w:p>
        </w:tc>
        <w:tc>
          <w:tcPr>
            <w:tcW w:w="617" w:type="pct"/>
            <w:vAlign w:val="center"/>
          </w:tcPr>
          <w:p w14:paraId="2BFB4583"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0.000</w:t>
            </w:r>
          </w:p>
        </w:tc>
      </w:tr>
      <w:tr w:rsidR="002F411F" w:rsidRPr="002F411F" w14:paraId="59EE08F3" w14:textId="77777777" w:rsidTr="00AE0B73">
        <w:trPr>
          <w:jc w:val="center"/>
        </w:trPr>
        <w:tc>
          <w:tcPr>
            <w:tcW w:w="690" w:type="pct"/>
            <w:vAlign w:val="center"/>
          </w:tcPr>
          <w:p w14:paraId="4BD0DBDE"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VAC</w:t>
            </w:r>
          </w:p>
        </w:tc>
        <w:tc>
          <w:tcPr>
            <w:tcW w:w="691" w:type="pct"/>
            <w:vAlign w:val="center"/>
          </w:tcPr>
          <w:p w14:paraId="268FB2A9"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0.68</w:t>
            </w:r>
          </w:p>
        </w:tc>
        <w:tc>
          <w:tcPr>
            <w:tcW w:w="1218" w:type="pct"/>
            <w:vAlign w:val="center"/>
          </w:tcPr>
          <w:p w14:paraId="71C5BD28"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0.54 – 0.82</w:t>
            </w:r>
          </w:p>
        </w:tc>
        <w:tc>
          <w:tcPr>
            <w:tcW w:w="1784" w:type="pct"/>
            <w:vAlign w:val="center"/>
          </w:tcPr>
          <w:p w14:paraId="49F69779"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0.58 (92.3 – 45.5)</w:t>
            </w:r>
          </w:p>
        </w:tc>
        <w:tc>
          <w:tcPr>
            <w:tcW w:w="617" w:type="pct"/>
            <w:vAlign w:val="center"/>
          </w:tcPr>
          <w:p w14:paraId="141DE52F"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0.036</w:t>
            </w:r>
          </w:p>
        </w:tc>
      </w:tr>
    </w:tbl>
    <w:p w14:paraId="6D0AD7B5" w14:textId="53B06BC2" w:rsidR="002F411F" w:rsidRPr="00AE0B73" w:rsidRDefault="00AE0B73" w:rsidP="0023747C">
      <w:pPr>
        <w:widowControl w:val="0"/>
        <w:autoSpaceDE w:val="0"/>
        <w:autoSpaceDN w:val="0"/>
        <w:adjustRightInd w:val="0"/>
        <w:ind w:firstLine="0"/>
        <w:rPr>
          <w:rFonts w:eastAsia="MS Mincho"/>
          <w:bCs/>
          <w:iCs/>
          <w:highlight w:val="white"/>
          <w:lang w:eastAsia="ko-KR"/>
        </w:rPr>
      </w:pPr>
      <w:r>
        <w:rPr>
          <w:rFonts w:eastAsia="MS Mincho"/>
          <w:bCs/>
          <w:iCs/>
          <w:lang w:eastAsia="ko-KR"/>
        </w:rPr>
        <w:tab/>
      </w:r>
      <w:r w:rsidRPr="00AE0B73">
        <w:rPr>
          <w:rFonts w:eastAsia="MS Mincho"/>
          <w:bCs/>
          <w:iCs/>
          <w:lang w:eastAsia="ko-KR"/>
        </w:rPr>
        <w:t xml:space="preserve">With a GLS cutoff point of -11.4 (sensitivity 100%, specificity 60.2%), VAC = 0.58 (sensitivity 92.3%, specificity 45.5%) had </w:t>
      </w:r>
      <w:r w:rsidRPr="00AE0B73">
        <w:rPr>
          <w:rFonts w:eastAsia="MS Mincho"/>
          <w:bCs/>
          <w:iCs/>
          <w:lang w:eastAsia="ko-KR"/>
        </w:rPr>
        <w:lastRenderedPageBreak/>
        <w:t>predictive value for re-hospitalization due to heart failure after acute myocardial infarction, p &lt; 0.05.</w:t>
      </w:r>
    </w:p>
    <w:p w14:paraId="49D52CB1" w14:textId="77777777" w:rsidR="00AE0B73" w:rsidRPr="00AE0B73" w:rsidRDefault="00AE0B73" w:rsidP="00AE0B73">
      <w:pPr>
        <w:widowControl w:val="0"/>
        <w:autoSpaceDE w:val="0"/>
        <w:autoSpaceDN w:val="0"/>
        <w:adjustRightInd w:val="0"/>
        <w:ind w:firstLine="0"/>
        <w:rPr>
          <w:rFonts w:eastAsia="MS Mincho"/>
          <w:bCs/>
          <w:iCs/>
          <w:highlight w:val="white"/>
          <w:lang w:eastAsia="ko-KR"/>
        </w:rPr>
      </w:pPr>
      <w:r w:rsidRPr="00AE0B73">
        <w:rPr>
          <w:rFonts w:eastAsia="MS Mincho"/>
          <w:bCs/>
          <w:iCs/>
          <w:highlight w:val="white"/>
          <w:lang w:eastAsia="ko-KR"/>
        </w:rPr>
        <w:t>Table 3.13. Multivariate Logistic Regression Analysis assessing the influence of several indicators on the event of re-hospitalization for heart failure after acute myocardial infarction.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864"/>
        <w:gridCol w:w="1792"/>
        <w:gridCol w:w="1098"/>
      </w:tblGrid>
      <w:tr w:rsidR="00AE0B73" w:rsidRPr="00AE0B73" w14:paraId="7B52F363" w14:textId="77777777" w:rsidTr="006C1C04">
        <w:trPr>
          <w:jc w:val="center"/>
        </w:trPr>
        <w:tc>
          <w:tcPr>
            <w:tcW w:w="1944" w:type="pct"/>
            <w:vAlign w:val="center"/>
          </w:tcPr>
          <w:p w14:paraId="122053AD"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Index</w:t>
            </w:r>
          </w:p>
        </w:tc>
        <w:tc>
          <w:tcPr>
            <w:tcW w:w="703" w:type="pct"/>
            <w:vAlign w:val="center"/>
          </w:tcPr>
          <w:p w14:paraId="7D36D15C"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OR</w:t>
            </w:r>
          </w:p>
        </w:tc>
        <w:tc>
          <w:tcPr>
            <w:tcW w:w="1459" w:type="pct"/>
            <w:vAlign w:val="center"/>
          </w:tcPr>
          <w:p w14:paraId="3B0ABB7F"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95% CI</w:t>
            </w:r>
          </w:p>
        </w:tc>
        <w:tc>
          <w:tcPr>
            <w:tcW w:w="894" w:type="pct"/>
            <w:vAlign w:val="center"/>
          </w:tcPr>
          <w:p w14:paraId="25C7C165"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p</w:t>
            </w:r>
          </w:p>
        </w:tc>
      </w:tr>
      <w:tr w:rsidR="00AE0B73" w:rsidRPr="00AE0B73" w14:paraId="0273C0BD" w14:textId="77777777" w:rsidTr="006C1C04">
        <w:trPr>
          <w:jc w:val="center"/>
        </w:trPr>
        <w:tc>
          <w:tcPr>
            <w:tcW w:w="1944" w:type="pct"/>
            <w:vAlign w:val="center"/>
          </w:tcPr>
          <w:p w14:paraId="385029E8"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Year old</w:t>
            </w:r>
          </w:p>
        </w:tc>
        <w:tc>
          <w:tcPr>
            <w:tcW w:w="703" w:type="pct"/>
            <w:vAlign w:val="center"/>
          </w:tcPr>
          <w:p w14:paraId="76647661"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1.1</w:t>
            </w:r>
          </w:p>
        </w:tc>
        <w:tc>
          <w:tcPr>
            <w:tcW w:w="1459" w:type="pct"/>
            <w:vAlign w:val="center"/>
          </w:tcPr>
          <w:p w14:paraId="071E63EC"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0.98 – 1.23</w:t>
            </w:r>
          </w:p>
        </w:tc>
        <w:tc>
          <w:tcPr>
            <w:tcW w:w="894" w:type="pct"/>
            <w:vAlign w:val="center"/>
          </w:tcPr>
          <w:p w14:paraId="33EC11CD"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0.07</w:t>
            </w:r>
          </w:p>
        </w:tc>
      </w:tr>
      <w:tr w:rsidR="00AE0B73" w:rsidRPr="00AE0B73" w14:paraId="196AC5CD" w14:textId="77777777" w:rsidTr="006C1C04">
        <w:trPr>
          <w:jc w:val="center"/>
        </w:trPr>
        <w:tc>
          <w:tcPr>
            <w:tcW w:w="1944" w:type="pct"/>
            <w:vAlign w:val="center"/>
          </w:tcPr>
          <w:p w14:paraId="2DB5CF47"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History of diabetes</w:t>
            </w:r>
          </w:p>
        </w:tc>
        <w:tc>
          <w:tcPr>
            <w:tcW w:w="703" w:type="pct"/>
            <w:vAlign w:val="center"/>
          </w:tcPr>
          <w:p w14:paraId="32DDAE9D"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0.12</w:t>
            </w:r>
          </w:p>
        </w:tc>
        <w:tc>
          <w:tcPr>
            <w:tcW w:w="1459" w:type="pct"/>
            <w:vAlign w:val="center"/>
          </w:tcPr>
          <w:p w14:paraId="7D808304"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0.007 – 2.15</w:t>
            </w:r>
          </w:p>
        </w:tc>
        <w:tc>
          <w:tcPr>
            <w:tcW w:w="894" w:type="pct"/>
            <w:vAlign w:val="center"/>
          </w:tcPr>
          <w:p w14:paraId="462F2351"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0.15</w:t>
            </w:r>
          </w:p>
        </w:tc>
      </w:tr>
      <w:tr w:rsidR="00AE0B73" w:rsidRPr="00AE0B73" w14:paraId="3937F024" w14:textId="77777777" w:rsidTr="006C1C04">
        <w:trPr>
          <w:jc w:val="center"/>
        </w:trPr>
        <w:tc>
          <w:tcPr>
            <w:tcW w:w="1944" w:type="pct"/>
            <w:vAlign w:val="center"/>
          </w:tcPr>
          <w:p w14:paraId="3033081D"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Troponin I</w:t>
            </w:r>
          </w:p>
        </w:tc>
        <w:tc>
          <w:tcPr>
            <w:tcW w:w="703" w:type="pct"/>
            <w:vAlign w:val="center"/>
          </w:tcPr>
          <w:p w14:paraId="30CB14AE"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w:t>
            </w:r>
          </w:p>
        </w:tc>
        <w:tc>
          <w:tcPr>
            <w:tcW w:w="1459" w:type="pct"/>
            <w:vAlign w:val="center"/>
          </w:tcPr>
          <w:p w14:paraId="79E5305F"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 – 1</w:t>
            </w:r>
          </w:p>
        </w:tc>
        <w:tc>
          <w:tcPr>
            <w:tcW w:w="894" w:type="pct"/>
            <w:vAlign w:val="center"/>
          </w:tcPr>
          <w:p w14:paraId="687DB28E"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0.02</w:t>
            </w:r>
          </w:p>
        </w:tc>
      </w:tr>
      <w:tr w:rsidR="00AE0B73" w:rsidRPr="00AE0B73" w14:paraId="543F24D0" w14:textId="77777777" w:rsidTr="006C1C04">
        <w:trPr>
          <w:jc w:val="center"/>
        </w:trPr>
        <w:tc>
          <w:tcPr>
            <w:tcW w:w="1944" w:type="pct"/>
            <w:vAlign w:val="center"/>
          </w:tcPr>
          <w:p w14:paraId="320466E7"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CK-MB</w:t>
            </w:r>
          </w:p>
        </w:tc>
        <w:tc>
          <w:tcPr>
            <w:tcW w:w="703" w:type="pct"/>
            <w:vAlign w:val="center"/>
          </w:tcPr>
          <w:p w14:paraId="6DEC6CE1"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1,008</w:t>
            </w:r>
          </w:p>
        </w:tc>
        <w:tc>
          <w:tcPr>
            <w:tcW w:w="1459" w:type="pct"/>
            <w:vAlign w:val="center"/>
          </w:tcPr>
          <w:p w14:paraId="2219E016"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0.99 – 1.02</w:t>
            </w:r>
          </w:p>
        </w:tc>
        <w:tc>
          <w:tcPr>
            <w:tcW w:w="894" w:type="pct"/>
            <w:vAlign w:val="center"/>
          </w:tcPr>
          <w:p w14:paraId="55B678A5"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0.22</w:t>
            </w:r>
          </w:p>
        </w:tc>
      </w:tr>
      <w:tr w:rsidR="00AE0B73" w:rsidRPr="00AE0B73" w14:paraId="7CC80EDC" w14:textId="77777777" w:rsidTr="006C1C04">
        <w:trPr>
          <w:jc w:val="center"/>
        </w:trPr>
        <w:tc>
          <w:tcPr>
            <w:tcW w:w="1944" w:type="pct"/>
            <w:vAlign w:val="center"/>
          </w:tcPr>
          <w:p w14:paraId="1574155C"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Cholesterol</w:t>
            </w:r>
          </w:p>
        </w:tc>
        <w:tc>
          <w:tcPr>
            <w:tcW w:w="703" w:type="pct"/>
            <w:vAlign w:val="center"/>
          </w:tcPr>
          <w:p w14:paraId="21641D13"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0.38</w:t>
            </w:r>
          </w:p>
        </w:tc>
        <w:tc>
          <w:tcPr>
            <w:tcW w:w="1459" w:type="pct"/>
            <w:vAlign w:val="center"/>
          </w:tcPr>
          <w:p w14:paraId="18BC33A7"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0.13 – 1.11</w:t>
            </w:r>
          </w:p>
        </w:tc>
        <w:tc>
          <w:tcPr>
            <w:tcW w:w="894" w:type="pct"/>
            <w:vAlign w:val="center"/>
          </w:tcPr>
          <w:p w14:paraId="071647AB"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0.07</w:t>
            </w:r>
          </w:p>
        </w:tc>
      </w:tr>
      <w:tr w:rsidR="00AE0B73" w:rsidRPr="00AE0B73" w14:paraId="1A33C24D" w14:textId="77777777" w:rsidTr="006C1C04">
        <w:trPr>
          <w:jc w:val="center"/>
        </w:trPr>
        <w:tc>
          <w:tcPr>
            <w:tcW w:w="1944" w:type="pct"/>
            <w:vAlign w:val="center"/>
          </w:tcPr>
          <w:p w14:paraId="21EF006A"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GOT</w:t>
            </w:r>
          </w:p>
        </w:tc>
        <w:tc>
          <w:tcPr>
            <w:tcW w:w="703" w:type="pct"/>
            <w:vAlign w:val="center"/>
          </w:tcPr>
          <w:p w14:paraId="68EFAAF6"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0.97</w:t>
            </w:r>
          </w:p>
        </w:tc>
        <w:tc>
          <w:tcPr>
            <w:tcW w:w="1459" w:type="pct"/>
            <w:vAlign w:val="center"/>
          </w:tcPr>
          <w:p w14:paraId="4D7E9202"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0.93 – 1.006</w:t>
            </w:r>
          </w:p>
        </w:tc>
        <w:tc>
          <w:tcPr>
            <w:tcW w:w="894" w:type="pct"/>
            <w:vAlign w:val="center"/>
          </w:tcPr>
          <w:p w14:paraId="0BB42D1F"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0.1</w:t>
            </w:r>
          </w:p>
        </w:tc>
      </w:tr>
      <w:tr w:rsidR="00AE0B73" w:rsidRPr="00AE0B73" w14:paraId="617C0F4D" w14:textId="77777777" w:rsidTr="006C1C04">
        <w:trPr>
          <w:jc w:val="center"/>
        </w:trPr>
        <w:tc>
          <w:tcPr>
            <w:tcW w:w="1944" w:type="pct"/>
            <w:vAlign w:val="center"/>
          </w:tcPr>
          <w:p w14:paraId="4EB1B4C0"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VAC</w:t>
            </w:r>
          </w:p>
        </w:tc>
        <w:tc>
          <w:tcPr>
            <w:tcW w:w="703" w:type="pct"/>
            <w:vAlign w:val="center"/>
          </w:tcPr>
          <w:p w14:paraId="12700D1C"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29.51</w:t>
            </w:r>
          </w:p>
        </w:tc>
        <w:tc>
          <w:tcPr>
            <w:tcW w:w="1459" w:type="pct"/>
            <w:vAlign w:val="center"/>
          </w:tcPr>
          <w:p w14:paraId="6FB3991A"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1.02 – 846.74</w:t>
            </w:r>
          </w:p>
        </w:tc>
        <w:tc>
          <w:tcPr>
            <w:tcW w:w="894" w:type="pct"/>
            <w:vAlign w:val="center"/>
          </w:tcPr>
          <w:p w14:paraId="5805618C"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0.04</w:t>
            </w:r>
          </w:p>
        </w:tc>
      </w:tr>
      <w:tr w:rsidR="00AE0B73" w:rsidRPr="00AE0B73" w14:paraId="165FD89B" w14:textId="77777777" w:rsidTr="006C1C04">
        <w:trPr>
          <w:jc w:val="center"/>
        </w:trPr>
        <w:tc>
          <w:tcPr>
            <w:tcW w:w="1944" w:type="pct"/>
            <w:vAlign w:val="center"/>
          </w:tcPr>
          <w:p w14:paraId="6F63D5D6"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GLS</w:t>
            </w:r>
          </w:p>
        </w:tc>
        <w:tc>
          <w:tcPr>
            <w:tcW w:w="703" w:type="pct"/>
            <w:vAlign w:val="center"/>
          </w:tcPr>
          <w:p w14:paraId="640F5CEA"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2.41</w:t>
            </w:r>
          </w:p>
        </w:tc>
        <w:tc>
          <w:tcPr>
            <w:tcW w:w="1459" w:type="pct"/>
            <w:vAlign w:val="center"/>
          </w:tcPr>
          <w:p w14:paraId="3C6C65AF"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1.35 – 4.33</w:t>
            </w:r>
          </w:p>
        </w:tc>
        <w:tc>
          <w:tcPr>
            <w:tcW w:w="894" w:type="pct"/>
            <w:vAlign w:val="center"/>
          </w:tcPr>
          <w:p w14:paraId="2585BAE6"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0.003</w:t>
            </w:r>
          </w:p>
        </w:tc>
      </w:tr>
      <w:tr w:rsidR="00AE0B73" w:rsidRPr="00AE0B73" w14:paraId="67866CDF" w14:textId="77777777" w:rsidTr="006C1C04">
        <w:trPr>
          <w:jc w:val="center"/>
        </w:trPr>
        <w:tc>
          <w:tcPr>
            <w:tcW w:w="1944" w:type="pct"/>
            <w:vAlign w:val="center"/>
          </w:tcPr>
          <w:p w14:paraId="76057DFC"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OPG</w:t>
            </w:r>
          </w:p>
        </w:tc>
        <w:tc>
          <w:tcPr>
            <w:tcW w:w="703" w:type="pct"/>
            <w:vAlign w:val="center"/>
          </w:tcPr>
          <w:p w14:paraId="4BBF17EB"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0.99</w:t>
            </w:r>
          </w:p>
        </w:tc>
        <w:tc>
          <w:tcPr>
            <w:tcW w:w="1459" w:type="pct"/>
            <w:vAlign w:val="center"/>
          </w:tcPr>
          <w:p w14:paraId="7D057772"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0.99 – 1.001</w:t>
            </w:r>
          </w:p>
        </w:tc>
        <w:tc>
          <w:tcPr>
            <w:tcW w:w="894" w:type="pct"/>
            <w:vAlign w:val="center"/>
          </w:tcPr>
          <w:p w14:paraId="55C451E4"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0.43</w:t>
            </w:r>
          </w:p>
        </w:tc>
      </w:tr>
      <w:tr w:rsidR="00AE0B73" w:rsidRPr="00AE0B73" w14:paraId="03F60A4E" w14:textId="77777777" w:rsidTr="006C1C04">
        <w:trPr>
          <w:jc w:val="center"/>
        </w:trPr>
        <w:tc>
          <w:tcPr>
            <w:tcW w:w="1944" w:type="pct"/>
            <w:vAlign w:val="center"/>
          </w:tcPr>
          <w:p w14:paraId="2B0B8712"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MMP - 2</w:t>
            </w:r>
          </w:p>
        </w:tc>
        <w:tc>
          <w:tcPr>
            <w:tcW w:w="703" w:type="pct"/>
            <w:vAlign w:val="center"/>
          </w:tcPr>
          <w:p w14:paraId="74499221"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0.98</w:t>
            </w:r>
          </w:p>
        </w:tc>
        <w:tc>
          <w:tcPr>
            <w:tcW w:w="1459" w:type="pct"/>
            <w:vAlign w:val="center"/>
          </w:tcPr>
          <w:p w14:paraId="4577FEF7"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0.96 – 1.008</w:t>
            </w:r>
          </w:p>
        </w:tc>
        <w:tc>
          <w:tcPr>
            <w:tcW w:w="894" w:type="pct"/>
            <w:vAlign w:val="center"/>
          </w:tcPr>
          <w:p w14:paraId="277D10B0"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0.21</w:t>
            </w:r>
          </w:p>
        </w:tc>
      </w:tr>
    </w:tbl>
    <w:p w14:paraId="10F60810" w14:textId="77777777" w:rsidR="00AE0B73" w:rsidRPr="00AE0B73" w:rsidRDefault="00AE0B73" w:rsidP="00AE0B73">
      <w:pPr>
        <w:widowControl w:val="0"/>
        <w:autoSpaceDE w:val="0"/>
        <w:autoSpaceDN w:val="0"/>
        <w:adjustRightInd w:val="0"/>
        <w:ind w:firstLine="0"/>
        <w:rPr>
          <w:rFonts w:eastAsia="MS Mincho"/>
          <w:bCs/>
          <w:iCs/>
          <w:highlight w:val="white"/>
          <w:lang w:eastAsia="ko-KR"/>
        </w:rPr>
      </w:pPr>
      <w:r w:rsidRPr="00AE0B73">
        <w:rPr>
          <w:rFonts w:eastAsia="MS Mincho"/>
          <w:bCs/>
          <w:iCs/>
          <w:highlight w:val="white"/>
          <w:lang w:eastAsia="ko-KR"/>
        </w:rPr>
        <w:tab/>
        <w:t>Multivariate logistic regression analysis found that VAC and GLS indices were significant predictors of re-hospitalization for heart failure following acute myocardial infarction (p &lt; 0.05).</w:t>
      </w:r>
    </w:p>
    <w:p w14:paraId="72499572" w14:textId="49A00A5B" w:rsidR="002F411F" w:rsidRPr="00AE0B73" w:rsidRDefault="002F411F" w:rsidP="0023747C">
      <w:pPr>
        <w:widowControl w:val="0"/>
        <w:autoSpaceDE w:val="0"/>
        <w:autoSpaceDN w:val="0"/>
        <w:adjustRightInd w:val="0"/>
        <w:ind w:firstLine="0"/>
        <w:rPr>
          <w:rFonts w:eastAsia="MS Mincho"/>
          <w:bCs/>
          <w:iCs/>
          <w:highlight w:val="white"/>
          <w:lang w:eastAsia="ko-KR"/>
        </w:rPr>
      </w:pPr>
    </w:p>
    <w:p w14:paraId="2181F091" w14:textId="77777777" w:rsidR="002F411F" w:rsidRDefault="002F411F" w:rsidP="0023747C">
      <w:pPr>
        <w:widowControl w:val="0"/>
        <w:autoSpaceDE w:val="0"/>
        <w:autoSpaceDN w:val="0"/>
        <w:adjustRightInd w:val="0"/>
        <w:ind w:firstLine="0"/>
        <w:rPr>
          <w:rFonts w:eastAsia="MS Mincho"/>
          <w:b/>
          <w:iCs/>
          <w:highlight w:val="white"/>
          <w:lang w:eastAsia="ko-KR"/>
        </w:rPr>
      </w:pPr>
    </w:p>
    <w:p w14:paraId="601B2FF8" w14:textId="77777777" w:rsidR="002F411F" w:rsidRDefault="002F411F" w:rsidP="0023747C">
      <w:pPr>
        <w:widowControl w:val="0"/>
        <w:autoSpaceDE w:val="0"/>
        <w:autoSpaceDN w:val="0"/>
        <w:adjustRightInd w:val="0"/>
        <w:ind w:firstLine="0"/>
        <w:rPr>
          <w:rFonts w:eastAsia="MS Mincho"/>
          <w:b/>
          <w:iCs/>
          <w:highlight w:val="white"/>
          <w:lang w:eastAsia="ko-KR"/>
        </w:rPr>
      </w:pPr>
    </w:p>
    <w:p w14:paraId="01657A2A" w14:textId="77777777" w:rsidR="002F411F" w:rsidRDefault="002F411F" w:rsidP="0023747C">
      <w:pPr>
        <w:widowControl w:val="0"/>
        <w:autoSpaceDE w:val="0"/>
        <w:autoSpaceDN w:val="0"/>
        <w:adjustRightInd w:val="0"/>
        <w:ind w:firstLine="0"/>
        <w:rPr>
          <w:rFonts w:eastAsia="MS Mincho"/>
          <w:b/>
          <w:iCs/>
          <w:highlight w:val="white"/>
          <w:lang w:eastAsia="ko-KR"/>
        </w:rPr>
      </w:pPr>
    </w:p>
    <w:p w14:paraId="4AECC034" w14:textId="77777777" w:rsidR="002F411F" w:rsidRDefault="002F411F" w:rsidP="0023747C">
      <w:pPr>
        <w:widowControl w:val="0"/>
        <w:autoSpaceDE w:val="0"/>
        <w:autoSpaceDN w:val="0"/>
        <w:adjustRightInd w:val="0"/>
        <w:ind w:firstLine="0"/>
        <w:rPr>
          <w:rFonts w:eastAsia="MS Mincho"/>
          <w:b/>
          <w:iCs/>
          <w:highlight w:val="white"/>
          <w:lang w:eastAsia="ko-KR"/>
        </w:rPr>
      </w:pPr>
    </w:p>
    <w:p w14:paraId="6222BECB" w14:textId="77777777" w:rsidR="002F411F" w:rsidRDefault="002F411F" w:rsidP="0023747C">
      <w:pPr>
        <w:widowControl w:val="0"/>
        <w:autoSpaceDE w:val="0"/>
        <w:autoSpaceDN w:val="0"/>
        <w:adjustRightInd w:val="0"/>
        <w:ind w:firstLine="0"/>
        <w:rPr>
          <w:rFonts w:eastAsia="MS Mincho"/>
          <w:b/>
          <w:iCs/>
          <w:highlight w:val="white"/>
          <w:lang w:eastAsia="ko-KR"/>
        </w:rPr>
      </w:pPr>
    </w:p>
    <w:p w14:paraId="5BA68B2A" w14:textId="473FE09A" w:rsidR="002F411F" w:rsidRDefault="002F411F" w:rsidP="0023747C">
      <w:pPr>
        <w:widowControl w:val="0"/>
        <w:autoSpaceDE w:val="0"/>
        <w:autoSpaceDN w:val="0"/>
        <w:adjustRightInd w:val="0"/>
        <w:ind w:firstLine="0"/>
        <w:rPr>
          <w:rFonts w:eastAsia="MS Mincho"/>
          <w:b/>
          <w:iCs/>
          <w:highlight w:val="white"/>
          <w:lang w:eastAsia="ko-KR"/>
        </w:rPr>
      </w:pPr>
    </w:p>
    <w:p w14:paraId="67D3E587" w14:textId="77777777" w:rsidR="002F411F" w:rsidRDefault="002F411F" w:rsidP="0023747C">
      <w:pPr>
        <w:widowControl w:val="0"/>
        <w:autoSpaceDE w:val="0"/>
        <w:autoSpaceDN w:val="0"/>
        <w:adjustRightInd w:val="0"/>
        <w:ind w:firstLine="0"/>
        <w:rPr>
          <w:rFonts w:eastAsia="MS Mincho"/>
          <w:b/>
          <w:iCs/>
          <w:highlight w:val="white"/>
          <w:lang w:eastAsia="ko-KR"/>
        </w:rPr>
      </w:pPr>
    </w:p>
    <w:p w14:paraId="333E16DF" w14:textId="77777777" w:rsidR="002F411F" w:rsidRDefault="002F411F" w:rsidP="0023747C">
      <w:pPr>
        <w:widowControl w:val="0"/>
        <w:autoSpaceDE w:val="0"/>
        <w:autoSpaceDN w:val="0"/>
        <w:adjustRightInd w:val="0"/>
        <w:ind w:firstLine="0"/>
        <w:rPr>
          <w:rFonts w:eastAsia="MS Mincho"/>
          <w:b/>
          <w:iCs/>
          <w:highlight w:val="white"/>
          <w:lang w:eastAsia="ko-KR"/>
        </w:rPr>
      </w:pPr>
    </w:p>
    <w:p w14:paraId="2B113CCB" w14:textId="0FEC310C" w:rsidR="0082249E" w:rsidRPr="0023747C" w:rsidRDefault="0082249E" w:rsidP="008A4DB3">
      <w:pPr>
        <w:ind w:firstLine="0"/>
        <w:jc w:val="center"/>
        <w:rPr>
          <w:rFonts w:eastAsia="MS Mincho"/>
          <w:b/>
          <w:iCs/>
          <w:highlight w:val="white"/>
          <w:lang w:val="es-ES" w:eastAsia="ko-KR"/>
        </w:rPr>
      </w:pPr>
      <w:r w:rsidRPr="0023747C">
        <w:rPr>
          <w:rFonts w:eastAsia="MS Mincho"/>
          <w:b/>
          <w:iCs/>
          <w:highlight w:val="white"/>
          <w:lang w:val="es-ES" w:eastAsia="ko-KR"/>
        </w:rPr>
        <w:t>Chapter 4. DISCUSSION</w:t>
      </w:r>
    </w:p>
    <w:p w14:paraId="4F55F723" w14:textId="7FEFB194" w:rsidR="0082249E" w:rsidRPr="008A4DB3" w:rsidRDefault="008A4DB3" w:rsidP="008A4DB3">
      <w:pPr>
        <w:ind w:firstLine="0"/>
        <w:rPr>
          <w:b/>
          <w:bCs/>
          <w:i/>
          <w:iCs/>
          <w:lang w:val="es-ES" w:eastAsia="x-none"/>
        </w:rPr>
      </w:pPr>
      <w:bookmarkStart w:id="12" w:name="_Toc178610067"/>
      <w:r>
        <w:rPr>
          <w:rFonts w:eastAsia="MS Mincho"/>
          <w:b/>
          <w:bCs/>
          <w:lang w:val="da-DK" w:eastAsia="ko-KR"/>
        </w:rPr>
        <w:t xml:space="preserve">4.1. </w:t>
      </w:r>
      <w:r w:rsidRPr="008A4DB3">
        <w:rPr>
          <w:rFonts w:eastAsia="Calibri"/>
          <w:b/>
          <w:szCs w:val="28"/>
          <w:lang w:val="es-ES"/>
        </w:rPr>
        <w:t>Changes in plasma concentrations of osteoprotegerin, matrix metalloproteinase-2, left ventricular longitudinal tension, and left ventricular-arterial compatibility before and after coronary artery intervention.</w:t>
      </w:r>
    </w:p>
    <w:p w14:paraId="2FF6C6D1" w14:textId="58F39C90" w:rsidR="0082249E" w:rsidRPr="00BB0B4A" w:rsidRDefault="0082249E" w:rsidP="00C25BE7">
      <w:pPr>
        <w:widowControl w:val="0"/>
        <w:autoSpaceDE w:val="0"/>
        <w:autoSpaceDN w:val="0"/>
        <w:adjustRightInd w:val="0"/>
        <w:spacing w:line="340" w:lineRule="exact"/>
        <w:ind w:firstLine="0"/>
        <w:rPr>
          <w:rFonts w:eastAsia="MS Mincho"/>
          <w:b/>
          <w:i/>
          <w:highlight w:val="white"/>
          <w:lang w:val="vi-VN" w:eastAsia="ko-KR"/>
        </w:rPr>
      </w:pPr>
      <w:bookmarkStart w:id="13" w:name="_Toc187321143"/>
      <w:r w:rsidRPr="0023747C">
        <w:rPr>
          <w:rFonts w:eastAsia="MS Mincho"/>
          <w:b/>
          <w:i/>
          <w:highlight w:val="white"/>
          <w:lang w:val="vi-VN" w:eastAsia="ko-KR"/>
        </w:rPr>
        <w:lastRenderedPageBreak/>
        <w:t xml:space="preserve">4.1.1 </w:t>
      </w:r>
      <w:r w:rsidR="002011E2" w:rsidRPr="0023747C">
        <w:rPr>
          <w:rFonts w:eastAsia="MS Mincho"/>
          <w:b/>
          <w:i/>
          <w:highlight w:val="white"/>
          <w:lang w:val="da-DK" w:eastAsia="ko-KR"/>
        </w:rPr>
        <w:t xml:space="preserve">. </w:t>
      </w:r>
      <w:r w:rsidR="00BB0B4A" w:rsidRPr="00BB0B4A">
        <w:rPr>
          <w:b/>
          <w:bCs/>
          <w:i/>
          <w:iCs/>
          <w:lang w:val="vi-VN"/>
        </w:rPr>
        <w:t xml:space="preserve">Changes in plasma osteoprotegerin concentration </w:t>
      </w:r>
      <w:r w:rsidRPr="0023747C">
        <w:rPr>
          <w:rFonts w:eastAsia="MS Mincho"/>
          <w:b/>
          <w:i/>
          <w:highlight w:val="white"/>
          <w:lang w:val="vi-VN" w:eastAsia="ko-KR"/>
        </w:rPr>
        <w:t>.</w:t>
      </w:r>
      <w:bookmarkEnd w:id="13"/>
    </w:p>
    <w:bookmarkEnd w:id="12"/>
    <w:p w14:paraId="004C02CC" w14:textId="1A9598A8" w:rsidR="00BB0B4A" w:rsidRDefault="00BB0B4A" w:rsidP="00BB0B4A">
      <w:pPr>
        <w:widowControl w:val="0"/>
        <w:autoSpaceDE w:val="0"/>
        <w:autoSpaceDN w:val="0"/>
        <w:adjustRightInd w:val="0"/>
        <w:spacing w:line="340" w:lineRule="exact"/>
        <w:ind w:firstLine="0"/>
        <w:rPr>
          <w:rFonts w:eastAsia="MS Mincho"/>
          <w:bCs/>
          <w:iCs/>
          <w:lang w:val="es-ES" w:eastAsia="ko-KR"/>
        </w:rPr>
      </w:pPr>
      <w:r>
        <w:rPr>
          <w:rFonts w:eastAsia="MS Mincho"/>
          <w:b/>
          <w:iCs/>
          <w:highlight w:val="white"/>
          <w:lang w:val="es-ES" w:eastAsia="ko-KR"/>
        </w:rPr>
        <w:tab/>
      </w:r>
      <w:r w:rsidRPr="00BB0B4A">
        <w:rPr>
          <w:rFonts w:eastAsia="MS Mincho"/>
          <w:bCs/>
          <w:iCs/>
          <w:lang w:val="es-ES" w:eastAsia="ko-KR"/>
        </w:rPr>
        <w:t>In our study, at the time of admission, the mean OPG concentrations in the STEMI and NSTEMI groups were 2319.15 ± 706.7 pg/ml and 2352.74 ± 673.62 pg/ml, respectively, which were statistically significantly higher than the control group (1424.24 ± 456.74 pg/ml) (p &lt; 0.001). There was no significant difference in OPG concentrations between the STEMI and NSTEMI groups.</w:t>
      </w:r>
    </w:p>
    <w:p w14:paraId="4F9C6250" w14:textId="0BF33115" w:rsidR="00BB0B4A" w:rsidRDefault="00BB0B4A"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 xml:space="preserve">There was no difference in OPG concentrations at admission and 7 days post-coronary intervention. This may be because </w:t>
      </w:r>
      <w:r w:rsidRPr="00BB0B4A">
        <w:rPr>
          <w:rFonts w:eastAsia="MS Mincho"/>
          <w:bCs/>
          <w:iCs/>
          <w:lang w:val="es-ES" w:eastAsia="ko-KR"/>
        </w:rPr>
        <w:t>OPG reflects prolonged inflammation, endothelial damage, and vascular damage, which do not resolve immediately after coronary revascularization. Additionally, reperfusion damage activates the RAA system, contributing to maintaining OPG levels in the early post-intervention period.</w:t>
      </w:r>
    </w:p>
    <w:p w14:paraId="45DC6ED8" w14:textId="0CDBE05D" w:rsidR="00BB0B4A" w:rsidRPr="00BB0B4A" w:rsidRDefault="00BB0B4A" w:rsidP="00BB0B4A">
      <w:pPr>
        <w:widowControl w:val="0"/>
        <w:autoSpaceDE w:val="0"/>
        <w:autoSpaceDN w:val="0"/>
        <w:adjustRightInd w:val="0"/>
        <w:spacing w:line="340" w:lineRule="exact"/>
        <w:ind w:firstLine="0"/>
        <w:rPr>
          <w:rFonts w:eastAsia="MS Mincho"/>
          <w:b/>
          <w:i/>
          <w:highlight w:val="white"/>
          <w:lang w:val="es-ES" w:eastAsia="ko-KR"/>
        </w:rPr>
      </w:pPr>
      <w:r>
        <w:rPr>
          <w:rFonts w:eastAsia="MS Mincho"/>
          <w:b/>
          <w:i/>
          <w:lang w:val="es-ES" w:eastAsia="ko-KR"/>
        </w:rPr>
        <w:t>4.1.2. Changes in plasma Matrix Metalloproteinase-2 concentration.</w:t>
      </w:r>
    </w:p>
    <w:p w14:paraId="3C079D43" w14:textId="3D283C3F" w:rsidR="00BB0B4A" w:rsidRDefault="00BB0B4A" w:rsidP="00BB0B4A">
      <w:pPr>
        <w:widowControl w:val="0"/>
        <w:autoSpaceDE w:val="0"/>
        <w:autoSpaceDN w:val="0"/>
        <w:adjustRightInd w:val="0"/>
        <w:spacing w:line="340" w:lineRule="exact"/>
        <w:ind w:firstLine="0"/>
        <w:rPr>
          <w:rFonts w:eastAsia="MS Mincho"/>
          <w:bCs/>
          <w:iCs/>
          <w:lang w:val="es-ES" w:eastAsia="ko-KR"/>
        </w:rPr>
      </w:pPr>
      <w:r>
        <w:rPr>
          <w:rFonts w:eastAsia="MS Mincho"/>
          <w:b/>
          <w:iCs/>
          <w:highlight w:val="white"/>
          <w:lang w:val="es-ES" w:eastAsia="ko-KR"/>
        </w:rPr>
        <w:tab/>
      </w:r>
      <w:r w:rsidRPr="00BB0B4A">
        <w:rPr>
          <w:rFonts w:eastAsia="MS Mincho"/>
          <w:bCs/>
          <w:iCs/>
          <w:lang w:val="es-ES" w:eastAsia="ko-KR"/>
        </w:rPr>
        <w:t xml:space="preserve">MMP-2 concentrations at admission were significantly higher in the STEMI and NSTEMI groups compared to the control group (p &lt; 0.05). There was no significant difference in MMP-2 concentrations between the STEMI and NSTEMI groups. Comparing MMP-2 concentrations at admission and on day 7 after coronary intervention, the difference was not significant (p &lt; 0.05). This is similar to the studies by Ugochukwu Shola Owolabi et al. (2020) and Hisashi Kai et al. (1998). This can be explained by the pathogenesis of MMP-2 activation. Firstly, in the early stages after acute myocardial infarction, MMP-2 activation is due to the inflammatory response accompanied by extracellular matrix degradation. Following coronary intervention, the inflammatory process gradually subsides, replaced by proliferation and repair of the post-infarct damage. During this phase, MMP-2 plays </w:t>
      </w:r>
      <w:r w:rsidRPr="00BB0B4A">
        <w:rPr>
          <w:rFonts w:eastAsia="MS Mincho"/>
          <w:bCs/>
          <w:iCs/>
          <w:lang w:val="es-ES" w:eastAsia="ko-KR"/>
        </w:rPr>
        <w:lastRenderedPageBreak/>
        <w:t>a role in forming a network of proteins, creating a supporting framework for blood vessels and myocardial tissue, and healing the infarcted area. Secondly, after acute myocardial infarction, prolonged activation of the RAA system causes oxidative stress, activating NF-κB and leading to increased MMP-2 secretion. These factors prevent MMP-2 levels from decreasing after coronary intervention.</w:t>
      </w:r>
    </w:p>
    <w:p w14:paraId="3D6B9764" w14:textId="7921D8C1" w:rsidR="00BB0B4A" w:rsidRPr="00BB0B4A" w:rsidRDefault="00BB0B4A" w:rsidP="00BB0B4A">
      <w:pPr>
        <w:widowControl w:val="0"/>
        <w:autoSpaceDE w:val="0"/>
        <w:autoSpaceDN w:val="0"/>
        <w:adjustRightInd w:val="0"/>
        <w:spacing w:line="340" w:lineRule="exact"/>
        <w:ind w:firstLine="0"/>
        <w:rPr>
          <w:rFonts w:eastAsia="MS Mincho"/>
          <w:b/>
          <w:i/>
          <w:lang w:val="es-ES" w:eastAsia="ko-KR"/>
        </w:rPr>
      </w:pPr>
      <w:r>
        <w:rPr>
          <w:rFonts w:eastAsia="MS Mincho"/>
          <w:b/>
          <w:i/>
          <w:lang w:val="es-ES" w:eastAsia="ko-KR"/>
        </w:rPr>
        <w:t>4.1.3. Changes in left ventricular longitudinal tension, left ventricular-arterial correspondence.</w:t>
      </w:r>
    </w:p>
    <w:p w14:paraId="4073CC7D" w14:textId="16B43EDE" w:rsidR="00BB0B4A" w:rsidRDefault="00BB0B4A"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r>
      <w:r w:rsidR="00E718CC" w:rsidRPr="00E718CC">
        <w:rPr>
          <w:rFonts w:eastAsia="MS Mincho"/>
          <w:bCs/>
          <w:iCs/>
          <w:lang w:val="es-ES" w:eastAsia="ko-KR"/>
        </w:rPr>
        <w:t xml:space="preserve">E </w:t>
      </w:r>
      <w:r w:rsidR="00E718CC" w:rsidRPr="00E718CC">
        <w:rPr>
          <w:rFonts w:eastAsia="MS Mincho"/>
          <w:bCs/>
          <w:iCs/>
          <w:vertAlign w:val="subscript"/>
          <w:lang w:val="es-ES" w:eastAsia="ko-KR"/>
        </w:rPr>
        <w:t xml:space="preserve">&lt;sub&gt;a&lt;/sub&gt; </w:t>
      </w:r>
      <w:r w:rsidR="00E718CC" w:rsidRPr="00E718CC">
        <w:rPr>
          <w:rFonts w:eastAsia="MS Mincho"/>
          <w:bCs/>
          <w:iCs/>
          <w:lang w:val="es-ES" w:eastAsia="ko-KR"/>
        </w:rPr>
        <w:t xml:space="preserve">and E&lt;sub&gt; </w:t>
      </w:r>
      <w:r w:rsidR="00E718CC" w:rsidRPr="00E718CC">
        <w:rPr>
          <w:rFonts w:eastAsia="MS Mincho"/>
          <w:bCs/>
          <w:iCs/>
          <w:vertAlign w:val="subscript"/>
          <w:lang w:val="es-ES" w:eastAsia="ko-KR"/>
        </w:rPr>
        <w:t xml:space="preserve">es&lt;/sub&gt; </w:t>
      </w:r>
      <w:r w:rsidR="00E718CC" w:rsidRPr="00E718CC">
        <w:rPr>
          <w:rFonts w:eastAsia="MS Mincho"/>
          <w:bCs/>
          <w:iCs/>
          <w:lang w:val="es-ES" w:eastAsia="ko-KR"/>
        </w:rPr>
        <w:t xml:space="preserve">decreased significantly 7 days after intervention compared to 24 hours after admission (p &lt; 0.005). However, at 12 months of follow-up, no change in E&lt;sub&gt;a&lt;/sub&gt; and E&lt;sub&gt;es&lt;/sub&gt; was observed compared to 7 days after coronary intervention. No significant change in VAC index before and after coronary intervention was observed. A study by Ho-Min Yoon et al. (2024) on 29 patients with acute myocardial infarction with EF ≥ 40%, with an average follow-up time of 272 days, found that in both the group with and without cardiac rehabilitation, E </w:t>
      </w:r>
      <w:r w:rsidR="00E718CC" w:rsidRPr="00E718CC">
        <w:rPr>
          <w:rFonts w:eastAsia="MS Mincho"/>
          <w:bCs/>
          <w:iCs/>
          <w:vertAlign w:val="subscript"/>
          <w:lang w:val="es-ES" w:eastAsia="ko-KR"/>
        </w:rPr>
        <w:t xml:space="preserve">&lt;sub&gt;a&lt;/sub&gt; </w:t>
      </w:r>
      <w:r w:rsidR="00E718CC" w:rsidRPr="00E718CC">
        <w:rPr>
          <w:rFonts w:eastAsia="MS Mincho"/>
          <w:bCs/>
          <w:iCs/>
          <w:lang w:val="es-ES" w:eastAsia="ko-KR"/>
        </w:rPr>
        <w:t xml:space="preserve">, E </w:t>
      </w:r>
      <w:r w:rsidR="00E718CC" w:rsidRPr="00E718CC">
        <w:rPr>
          <w:rFonts w:eastAsia="MS Mincho"/>
          <w:bCs/>
          <w:iCs/>
          <w:vertAlign w:val="subscript"/>
          <w:lang w:val="es-ES" w:eastAsia="ko-KR"/>
        </w:rPr>
        <w:t xml:space="preserve">&lt;sub&gt;es&lt;/sub&gt; </w:t>
      </w:r>
      <w:r w:rsidR="00E718CC" w:rsidRPr="00E718CC">
        <w:rPr>
          <w:rFonts w:eastAsia="MS Mincho"/>
          <w:bCs/>
          <w:iCs/>
          <w:lang w:val="es-ES" w:eastAsia="ko-KR"/>
        </w:rPr>
        <w:t>, and VAC indices did not change at the follow-up times compared to the time of admission. Thus, in patients with acute myocardial infarction, no change in VAC index was observed after percutaneous coronary intervention.</w:t>
      </w:r>
    </w:p>
    <w:p w14:paraId="78DEB541" w14:textId="326E6C98" w:rsidR="00E718CC" w:rsidRDefault="00E718CC"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 xml:space="preserve">strain </w:t>
      </w:r>
      <w:r w:rsidRPr="00E718CC">
        <w:rPr>
          <w:rFonts w:eastAsia="MS Mincho"/>
          <w:bCs/>
          <w:iCs/>
          <w:lang w:val="es-ES" w:eastAsia="ko-KR"/>
        </w:rPr>
        <w:t xml:space="preserve">showed a significant change after coronary intervention. The improvement in GLS in our study increased gradually from the first 24 hours after admission (-11.8%) to 6 months (-16.8%), p &lt; 0.001. Ho-Min Yoon's study found that GLS improvement was only observed in the group with cardiac function recovery (from -13.9% to -15.9%, p &lt; 0.05). Armin Attar et al. (2024) followed 60 patients with acute ST-elevation myocardial infarction for 6 months and found </w:t>
      </w:r>
      <w:r w:rsidRPr="00E718CC">
        <w:rPr>
          <w:rFonts w:eastAsia="MS Mincho"/>
          <w:bCs/>
          <w:iCs/>
          <w:lang w:val="es-ES" w:eastAsia="ko-KR"/>
        </w:rPr>
        <w:lastRenderedPageBreak/>
        <w:t>significant GLS recovery in both the group with and without cardiac function recovery. Thus, in patients with acute myocardial infarction, GLS recovery can be clearly seen after percutaneous coronary intervention. This is also consistent with the improvement in left ventricular ejection fraction after intervention.</w:t>
      </w:r>
    </w:p>
    <w:p w14:paraId="7407921A" w14:textId="4F7EB9DD" w:rsidR="00E718CC" w:rsidRDefault="00E718CC" w:rsidP="00BB0B4A">
      <w:pPr>
        <w:widowControl w:val="0"/>
        <w:autoSpaceDE w:val="0"/>
        <w:autoSpaceDN w:val="0"/>
        <w:adjustRightInd w:val="0"/>
        <w:spacing w:line="340" w:lineRule="exact"/>
        <w:ind w:firstLine="0"/>
        <w:rPr>
          <w:rFonts w:eastAsia="MS Mincho"/>
          <w:b/>
          <w:iCs/>
          <w:lang w:val="es-ES" w:eastAsia="ko-KR"/>
        </w:rPr>
      </w:pPr>
      <w:r>
        <w:rPr>
          <w:rFonts w:eastAsia="MS Mincho"/>
          <w:b/>
          <w:iCs/>
          <w:lang w:val="es-ES" w:eastAsia="ko-KR"/>
        </w:rPr>
        <w:t>4.2. The relationship between OPG, MMP-2, VAC, and GLS concentrations and clinical, paraclinical characteristics and cardiovascular events after coronary artery intervention.</w:t>
      </w:r>
    </w:p>
    <w:p w14:paraId="50D391D4" w14:textId="544DA44E" w:rsidR="00E718CC" w:rsidRDefault="00E718CC" w:rsidP="00BB0B4A">
      <w:pPr>
        <w:widowControl w:val="0"/>
        <w:autoSpaceDE w:val="0"/>
        <w:autoSpaceDN w:val="0"/>
        <w:adjustRightInd w:val="0"/>
        <w:spacing w:line="340" w:lineRule="exact"/>
        <w:ind w:firstLine="0"/>
        <w:rPr>
          <w:rFonts w:eastAsia="MS Mincho"/>
          <w:b/>
          <w:i/>
          <w:lang w:val="es-ES" w:eastAsia="ko-KR"/>
        </w:rPr>
      </w:pPr>
      <w:r>
        <w:rPr>
          <w:rFonts w:eastAsia="MS Mincho"/>
          <w:b/>
          <w:i/>
          <w:lang w:val="es-ES" w:eastAsia="ko-KR"/>
        </w:rPr>
        <w:t>4.2.1. Relationship between OPG and MMP-2 concentrations and clinical and paraclinical characteristics.</w:t>
      </w:r>
    </w:p>
    <w:p w14:paraId="11639C9F" w14:textId="3575B592" w:rsidR="00E718CC" w:rsidRDefault="00E718CC"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 xml:space="preserve">The </w:t>
      </w:r>
      <w:r w:rsidRPr="00E718CC">
        <w:rPr>
          <w:rFonts w:eastAsia="MS Mincho"/>
          <w:bCs/>
          <w:iCs/>
          <w:lang w:val="es-ES" w:eastAsia="ko-KR"/>
        </w:rPr>
        <w:t>OPG concentration at admission was significantly higher in the multi-branch coronary artery lesion group compared to the single-branch coronary artery lesion group (p &lt; 0.05). The OPG concentration at admission was moderately effective in differentiating between single-branch and multi-branch coronary artery lesions (p = 0.009), with an OPG cutoff point of 2283.85 pg/ml, sensitivity of 61%, and specificity of 67.9%. Yves Cottin et al. (2021): OPG concentration ≥ 1080 pg/ml predicted a high SYNTAX score (above 20 points). Shuichi Jono et al. (2002): increased OPG concentration was associated with the number of affected coronary artery branches. Thus, it can be seen that increased plasma OPG concentration is related to the severity of coronary artery lesions.</w:t>
      </w:r>
    </w:p>
    <w:p w14:paraId="07B3CC97" w14:textId="2539A906"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MMP-2 concentrations upon admission were elevated in patients with LVEF ≤ 35% and VAC &gt; 1. Thus, the more severe the heart failure and the greater the left ventricular-arterial mismatch, the higher the plasma MMP-2 concentration.</w:t>
      </w:r>
    </w:p>
    <w:p w14:paraId="5ABCB7D3" w14:textId="1D420330" w:rsidR="00821D9E" w:rsidRDefault="00821D9E" w:rsidP="00BB0B4A">
      <w:pPr>
        <w:widowControl w:val="0"/>
        <w:autoSpaceDE w:val="0"/>
        <w:autoSpaceDN w:val="0"/>
        <w:adjustRightInd w:val="0"/>
        <w:spacing w:line="340" w:lineRule="exact"/>
        <w:ind w:firstLine="0"/>
        <w:rPr>
          <w:rFonts w:eastAsia="MS Mincho"/>
          <w:b/>
          <w:i/>
          <w:lang w:val="es-ES" w:eastAsia="ko-KR"/>
        </w:rPr>
      </w:pPr>
      <w:r>
        <w:rPr>
          <w:rFonts w:eastAsia="MS Mincho"/>
          <w:b/>
          <w:i/>
          <w:lang w:val="es-ES" w:eastAsia="ko-KR"/>
        </w:rPr>
        <w:t>4.2.2. Relationship between VAC, GLS and clinical and paraclinical characteristics</w:t>
      </w:r>
    </w:p>
    <w:p w14:paraId="58B46183" w14:textId="7DA809B9"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lastRenderedPageBreak/>
        <w:tab/>
        <w:t xml:space="preserve">Regarding heart failure status at discharge, when compared with NT-proBNP concentrations, </w:t>
      </w:r>
      <w:r w:rsidRPr="00821D9E">
        <w:rPr>
          <w:rFonts w:eastAsia="MS Mincho"/>
          <w:bCs/>
          <w:iCs/>
          <w:lang w:val="es-ES" w:eastAsia="ko-KR"/>
        </w:rPr>
        <w:t xml:space="preserve">our study found that the area under the ROC curve (AUC) of GLS was 0.88, VAC was 0.76 (p = 0.000), while that of NT-proBNP was 0.76 (p = 0.000). This demonstrates that GLS has a strong predictive ability for heart failure, while VAC and NT-proBNP have a moderate predictive ability. With a cutoff point of VAC = 0.57 (sensitivity 82.3%, specificity 58%), the predictive value for heart failure status is similar to that of NT-proBNP = 1412 pg/ml (sensitivity 46.8%, specificity 92.8%). The GLS cutoff point of -11.6% (sensitivity 82.3%, specificity 84.1%) has stronger prognostic value for heart failure than VAC and NT-proBNP </w:t>
      </w:r>
      <w:r>
        <w:rPr>
          <w:rFonts w:eastAsia="MS Mincho"/>
          <w:bCs/>
          <w:iCs/>
          <w:lang w:val="es-ES" w:eastAsia="ko-KR"/>
        </w:rPr>
        <w:t>.</w:t>
      </w:r>
    </w:p>
    <w:p w14:paraId="71036A22" w14:textId="5BBFC04D" w:rsidR="00821D9E" w:rsidRDefault="00821D9E" w:rsidP="00BB0B4A">
      <w:pPr>
        <w:widowControl w:val="0"/>
        <w:autoSpaceDE w:val="0"/>
        <w:autoSpaceDN w:val="0"/>
        <w:adjustRightInd w:val="0"/>
        <w:spacing w:line="340" w:lineRule="exact"/>
        <w:ind w:firstLine="0"/>
        <w:rPr>
          <w:rFonts w:eastAsia="MS Mincho"/>
          <w:b/>
          <w:i/>
          <w:lang w:val="es-ES" w:eastAsia="ko-KR"/>
        </w:rPr>
      </w:pPr>
      <w:r>
        <w:rPr>
          <w:rFonts w:eastAsia="MS Mincho"/>
          <w:b/>
          <w:i/>
          <w:lang w:val="es-ES" w:eastAsia="ko-KR"/>
        </w:rPr>
        <w:t>4.2.3. The relationship between VAC, GLS, OPG, MMP-2 and cardiovascular events (MACE).</w:t>
      </w:r>
    </w:p>
    <w:p w14:paraId="6EA57619" w14:textId="30B28B86"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
          <w:i/>
          <w:lang w:val="es-ES" w:eastAsia="ko-KR"/>
        </w:rPr>
        <w:tab/>
      </w:r>
      <w:r w:rsidRPr="00821D9E">
        <w:rPr>
          <w:rFonts w:eastAsia="MS Mincho"/>
          <w:bCs/>
          <w:iCs/>
          <w:lang w:val="es-ES" w:eastAsia="ko-KR"/>
        </w:rPr>
        <w:t>In our study, 20 patients experienced cardiovascular events (14.7%), of which the rate of re-hospitalization due to heart failure was 9.5%, recurrent myocardial infarction 2.9%, acute stroke 1.5%, and death from all causes 2.9%.</w:t>
      </w:r>
    </w:p>
    <w:p w14:paraId="17CCA06F" w14:textId="741E64C8"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r>
      <w:r w:rsidRPr="00821D9E">
        <w:rPr>
          <w:rFonts w:eastAsia="MS Mincho"/>
          <w:bCs/>
          <w:iCs/>
          <w:lang w:val="es-ES" w:eastAsia="ko-KR"/>
        </w:rPr>
        <w:t>Analysis of the ROC curve assessing the association between GLS, VAC and MACE events revealed that GLS has a moderate predictive ability for MACE events (AUC: 0.74, p = 0.001), with a GLS cutoff point of -12.4%, a sensitivity of 90%, and a specificity of 50%, indicating predictive value for MACE events.</w:t>
      </w:r>
    </w:p>
    <w:p w14:paraId="0EACCF51" w14:textId="531C81A6"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r>
      <w:r w:rsidRPr="00821D9E">
        <w:rPr>
          <w:rFonts w:eastAsia="MS Mincho"/>
          <w:bCs/>
          <w:iCs/>
          <w:lang w:val="es-ES" w:eastAsia="ko-KR"/>
        </w:rPr>
        <w:t xml:space="preserve">Multivariate logistic regression analysis, following the study after 12 months, included the following indicators: age (OR 1.12, 95% CI: 1.01–1.23, p = 0.02), troponin concentration (OR 1, 95% CI: 1.0–1.0, p = 0.02), glucose (OR 1.44, 95% CI: 1.05–1.96, p = 0.02), creatinine (OR 1.03, 95% CI: 1.002–1.059, p = 0.03), LDL-C (OR 0.35, 95% CI: 0.12–0.99, p = 0.04), and VAC (OR 35.41, 95% CI: </w:t>
      </w:r>
      <w:r w:rsidRPr="00821D9E">
        <w:rPr>
          <w:rFonts w:eastAsia="MS Mincho"/>
          <w:bCs/>
          <w:iCs/>
          <w:lang w:val="es-ES" w:eastAsia="ko-KR"/>
        </w:rPr>
        <w:lastRenderedPageBreak/>
        <w:t>1.61–778.07, p = 0.02). Ea (OR 0.2, 95% CI: 0.006–0.64, p = 0.007), GLS (OR 1.86, 95% CI: 1.27–2.73, p = 0.001), and OPG concentration (OR 0.99, 95% CI: 0.99–1.0, p = 0.04) were independent predictors of adverse cardiovascular events following acute myocardial infarction.</w:t>
      </w:r>
    </w:p>
    <w:p w14:paraId="5D0BF334" w14:textId="57C19CE0" w:rsidR="00BD18DF" w:rsidRPr="00BD18DF" w:rsidRDefault="00BD18DF" w:rsidP="00BD18DF">
      <w:pPr>
        <w:widowControl w:val="0"/>
        <w:autoSpaceDE w:val="0"/>
        <w:autoSpaceDN w:val="0"/>
        <w:adjustRightInd w:val="0"/>
        <w:spacing w:line="340" w:lineRule="exact"/>
        <w:ind w:firstLine="0"/>
        <w:rPr>
          <w:rFonts w:eastAsia="MS Mincho"/>
          <w:bCs/>
          <w:iCs/>
          <w:lang w:val="da-DK" w:eastAsia="ko-KR"/>
        </w:rPr>
      </w:pPr>
      <w:r>
        <w:rPr>
          <w:rFonts w:eastAsia="MS Mincho"/>
          <w:bCs/>
          <w:iCs/>
          <w:lang w:val="da-DK" w:eastAsia="ko-KR"/>
        </w:rPr>
        <w:tab/>
      </w:r>
      <w:r w:rsidRPr="00BD18DF">
        <w:rPr>
          <w:rFonts w:eastAsia="MS Mincho"/>
          <w:bCs/>
          <w:iCs/>
          <w:lang w:val="da-DK" w:eastAsia="ko-KR"/>
        </w:rPr>
        <w:t>The relationship between VAC and GLS indices and the event of re-hospitalization due to heart failure after acute myocardial infarction was found to be as follows: The area under the ROC curve (AUC) of GLS and VAC were 0.85 and 0.68, respectively. This indicates that GLS has a strong predictive ability for re-hospitalization due to heart failure (p &lt; 0.05), while VAC has a moderate predictive ability (p &lt; 0.05). With a cutoff point of GLS = -11.4 (sensitivity 100%, specificity 60.2%) and VAC = 0.58 (sensitivity 92.3%, specificity 45.5%), these indices have predictive value for re-hospitalization due to heart failure after myocardial infarction.</w:t>
      </w:r>
    </w:p>
    <w:p w14:paraId="743F6951" w14:textId="530F66AD" w:rsidR="00BB0B4A" w:rsidRDefault="00BD18DF" w:rsidP="00BD18DF">
      <w:pPr>
        <w:widowControl w:val="0"/>
        <w:autoSpaceDE w:val="0"/>
        <w:autoSpaceDN w:val="0"/>
        <w:adjustRightInd w:val="0"/>
        <w:spacing w:line="340" w:lineRule="exact"/>
        <w:ind w:firstLine="0"/>
        <w:rPr>
          <w:rFonts w:eastAsia="MS Mincho"/>
          <w:bCs/>
          <w:iCs/>
          <w:lang w:val="da-DK" w:eastAsia="ko-KR"/>
        </w:rPr>
      </w:pPr>
      <w:r>
        <w:rPr>
          <w:rFonts w:eastAsia="MS Mincho"/>
          <w:bCs/>
          <w:iCs/>
          <w:lang w:val="da-DK" w:eastAsia="ko-KR"/>
        </w:rPr>
        <w:tab/>
      </w:r>
      <w:r w:rsidRPr="00BD18DF">
        <w:rPr>
          <w:rFonts w:eastAsia="MS Mincho"/>
          <w:bCs/>
          <w:iCs/>
          <w:lang w:val="da-DK" w:eastAsia="ko-KR"/>
        </w:rPr>
        <w:t>Multivariate logistic regression analysis, following up after 12 months, showed that indicators including Troponin concentration (OR 1, 95% CI: 1.0 – 1.0, p = 0.02), VAC (OR 29.51, 95% CI: 1.02 – 846.74, p = 0.04), and GLS (OR 2.41, 95% CI: 1.35 – 4.33, p = 0.003) were independent predictors of re-hospitalization for heart failure after acute myocardial infarction. Thus, it can be seen that the total left ventricular longitudinal strain index and the left ventricular-arterial compatibility index have strong prognostic and predictive significance for adverse cardiovascular events after acute myocardial infarction.</w:t>
      </w:r>
    </w:p>
    <w:p w14:paraId="0AC8DCB2" w14:textId="77777777" w:rsidR="00BD18DF" w:rsidRDefault="00BD18DF" w:rsidP="00BD18DF">
      <w:pPr>
        <w:widowControl w:val="0"/>
        <w:autoSpaceDE w:val="0"/>
        <w:autoSpaceDN w:val="0"/>
        <w:adjustRightInd w:val="0"/>
        <w:spacing w:line="340" w:lineRule="exact"/>
        <w:ind w:firstLine="0"/>
        <w:rPr>
          <w:rFonts w:eastAsia="MS Mincho"/>
          <w:bCs/>
          <w:iCs/>
          <w:lang w:val="da-DK" w:eastAsia="ko-KR"/>
        </w:rPr>
      </w:pPr>
    </w:p>
    <w:p w14:paraId="388CBE0F" w14:textId="77777777" w:rsidR="00BD18DF" w:rsidRDefault="00BD18DF" w:rsidP="00BD18DF">
      <w:pPr>
        <w:widowControl w:val="0"/>
        <w:autoSpaceDE w:val="0"/>
        <w:autoSpaceDN w:val="0"/>
        <w:adjustRightInd w:val="0"/>
        <w:spacing w:line="340" w:lineRule="exact"/>
        <w:ind w:firstLine="0"/>
        <w:rPr>
          <w:rFonts w:eastAsia="MS Mincho"/>
          <w:b/>
          <w:iCs/>
          <w:highlight w:val="white"/>
          <w:lang w:val="es-ES" w:eastAsia="ko-KR"/>
        </w:rPr>
      </w:pPr>
    </w:p>
    <w:p w14:paraId="1B2341AF"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16C666F9"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5D383720"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4BA3D14E"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5BADA7C9"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24FA8C8D"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73EEDE53"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38FDBA53"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0C6B0952"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6F76D53C" w14:textId="4CE57176" w:rsidR="0082249E" w:rsidRPr="0023747C" w:rsidRDefault="0082249E" w:rsidP="00CB2D7A">
      <w:pPr>
        <w:widowControl w:val="0"/>
        <w:autoSpaceDE w:val="0"/>
        <w:autoSpaceDN w:val="0"/>
        <w:adjustRightInd w:val="0"/>
        <w:spacing w:line="340" w:lineRule="exact"/>
        <w:ind w:firstLine="0"/>
        <w:jc w:val="center"/>
        <w:rPr>
          <w:rFonts w:eastAsia="MS Mincho"/>
          <w:b/>
          <w:iCs/>
          <w:highlight w:val="white"/>
          <w:lang w:val="es-ES" w:eastAsia="ko-KR"/>
        </w:rPr>
      </w:pPr>
      <w:r w:rsidRPr="0023747C">
        <w:rPr>
          <w:rFonts w:eastAsia="MS Mincho"/>
          <w:b/>
          <w:iCs/>
          <w:highlight w:val="white"/>
          <w:lang w:val="es-ES" w:eastAsia="ko-KR"/>
        </w:rPr>
        <w:t>CONCLUDE</w:t>
      </w:r>
    </w:p>
    <w:p w14:paraId="1620A7CC" w14:textId="77777777" w:rsidR="00BD18DF" w:rsidRPr="00BD18DF" w:rsidRDefault="00BD18DF" w:rsidP="00BD18DF">
      <w:pPr>
        <w:pBdr>
          <w:top w:val="nil"/>
          <w:left w:val="nil"/>
          <w:bottom w:val="nil"/>
          <w:right w:val="nil"/>
          <w:between w:val="nil"/>
        </w:pBdr>
        <w:spacing w:line="340" w:lineRule="exact"/>
        <w:ind w:firstLine="284"/>
        <w:rPr>
          <w:b/>
          <w:lang w:val="vi-VN"/>
        </w:rPr>
      </w:pPr>
      <w:bookmarkStart w:id="14" w:name="_Toc183882379"/>
      <w:bookmarkStart w:id="15" w:name="_Toc187321156"/>
      <w:bookmarkStart w:id="16" w:name="_Toc171252152"/>
      <w:bookmarkStart w:id="17" w:name="_Toc173258682"/>
      <w:bookmarkStart w:id="18" w:name="_Toc181702101"/>
      <w:bookmarkStart w:id="19" w:name="_Toc182203754"/>
      <w:r w:rsidRPr="00BD18DF">
        <w:rPr>
          <w:b/>
          <w:lang w:val="vi-VN"/>
        </w:rPr>
        <w:t>1. Changes in plasma concentrations of osteoprotegerin, matrix metalloproteinase-2, left ventricular longitudinal tension, and left ventricular-arterial compatibility in patients with acute myocardial infarction undergoing percutaneous coronary intervention.</w:t>
      </w:r>
    </w:p>
    <w:p w14:paraId="7DD200B2"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Pre-intervention plasma OPG and MMP-2 concentrations in the acute myocardial infarction group (2323.63 ± 700.02 pg/ml and 158.10 ± 45.77 ng/ml) were significantly higher than in the control group (1424.24 ± 456.74 pg/ml and 142.55 ± 34.34 ng/ml) (p &lt; 0.05).</w:t>
      </w:r>
    </w:p>
    <w:p w14:paraId="7C71975C"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OPG and MMP-2 concentrations in the myocardial infarction group increased significantly with age.</w:t>
      </w:r>
    </w:p>
    <w:p w14:paraId="2CC89770" w14:textId="0559EC44"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Arterial elasticity and left ventricular-arterial compatibility were significantly higher in the myocardial infarction group compared to the control group.</w:t>
      </w:r>
    </w:p>
    <w:p w14:paraId="266676A3"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Before intervention, the absolute value of left ventricular longitudinal strain in the myocardial infarction group was significantly lower than in the control group (-11.8 ± 3.4% vs. -19.4 ± 1.3%). After coronary artery intervention, left ventricular longitudinal strain gradually increased until the 6th month, with significant differences between follow-up time points (p &lt; 0.05).</w:t>
      </w:r>
    </w:p>
    <w:p w14:paraId="43E2019D" w14:textId="77777777" w:rsidR="00BD18DF" w:rsidRPr="00BD18DF" w:rsidRDefault="00BD18DF" w:rsidP="00BD18DF">
      <w:pPr>
        <w:pBdr>
          <w:top w:val="nil"/>
          <w:left w:val="nil"/>
          <w:bottom w:val="nil"/>
          <w:right w:val="nil"/>
          <w:between w:val="nil"/>
        </w:pBdr>
        <w:spacing w:line="340" w:lineRule="exact"/>
        <w:ind w:firstLine="284"/>
        <w:rPr>
          <w:b/>
          <w:lang w:val="vi-VN"/>
        </w:rPr>
      </w:pPr>
      <w:r w:rsidRPr="00BD18DF">
        <w:rPr>
          <w:b/>
          <w:lang w:val="vi-VN"/>
        </w:rPr>
        <w:lastRenderedPageBreak/>
        <w:t>2. The relationship between Osteoprotegerin concentration, Matrix Metalloproteinase-2, left ventricular strain, left ventricular-arterial compatibility with clinical and paraclinical characteristics and cardiovascular events in patients with acute myocardial infarction undergoing percutaneous coronary intervention.</w:t>
      </w:r>
    </w:p>
    <w:p w14:paraId="5064B8EE"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OPG concentrations in the early admission group (≤ 12 hours) were significantly lower than in the group admitted &gt; 12 hours (p = 0.01). OPG concentrations at admission showed a positive correlation with age (r = 0.527, p &lt; 0.001), Troponin (r = 0.346, p &lt; 0.001), CK-MB (r = 0.323, p &lt; 0.001), and NT-pro BNP (r = 0.337, p &lt; 0.007). The OPG concentration at admission was able to differentiate between single-vessel and multi-vessel coronary artery lesions at the OPG cutoff point of 2283.85 pg/ml, with a sensitivity of 61% and a specificity of 67.9% (p &lt; 0.05).</w:t>
      </w:r>
    </w:p>
    <w:p w14:paraId="43175495"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MMP-2 concentrations correlated positively with age (r = 0.17, p = 0.04), left ventricular systolic volume (r = 0.223, p = 0.009), left ventricular diastolic volume (r = 0.221, p = 0.010), and negatively with left ventricular end-systolic elasticity (r = -0.17, p = 0.05). MMP-2 concentrations at admission were significantly higher in the LVEF ≤ 35% group (187.55 ± 57 ng/ml) compared with the LVEF &gt; 35% group (152 ± 40.79 ng/ml). MMP-2 concentrations were significantly higher in patients with VAC &gt; 1.</w:t>
      </w:r>
    </w:p>
    <w:p w14:paraId="7114B4F6"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xml:space="preserve">- Left ventricular longitudinal strain (GLS) has a moderate predictive ability for major cardiovascular events (AUC: 0.74, p = 0.001), with GLS ≥ -12.4% (sensitivity 90%, specificity 50%) having predictive value for major cardiovascular events after 12 months. GLS has a strong predictive ability for re-hospitalization due to heart failure </w:t>
      </w:r>
      <w:r w:rsidRPr="00BD18DF">
        <w:rPr>
          <w:bCs/>
          <w:lang w:val="vi-VN"/>
        </w:rPr>
        <w:lastRenderedPageBreak/>
        <w:t>after 12 months (AUC: 0.85, p = 0.000), with GLS ≥ -11.4% having predictive value for re-hospitalization due to heart failure after acute myocardial infarction (sensitivity 100%, specificity 60.2%).</w:t>
      </w:r>
    </w:p>
    <w:p w14:paraId="426F4398"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A VAC value of ≥ 0.58 has predictive value for re-hospitalization due to heart failure after acute myocardial infarction (sensitivity 92.3%, specificity 45.5%).</w:t>
      </w:r>
    </w:p>
    <w:p w14:paraId="697D50AF" w14:textId="4180EC5F" w:rsidR="00BD18DF" w:rsidRPr="00BD18DF" w:rsidRDefault="00BD18DF" w:rsidP="00BD18DF">
      <w:pPr>
        <w:pBdr>
          <w:top w:val="nil"/>
          <w:left w:val="nil"/>
          <w:bottom w:val="nil"/>
          <w:right w:val="nil"/>
          <w:between w:val="nil"/>
        </w:pBdr>
        <w:spacing w:line="340" w:lineRule="exact"/>
        <w:ind w:firstLine="284"/>
        <w:rPr>
          <w:rFonts w:eastAsia="Times New Roman"/>
          <w:bCs/>
          <w:color w:val="000000"/>
          <w:lang w:val="vi-VN"/>
        </w:rPr>
      </w:pPr>
      <w:r w:rsidRPr="00BD18DF">
        <w:rPr>
          <w:bCs/>
          <w:lang w:val="vi-VN"/>
        </w:rPr>
        <w:t>- Logistic Regression Analysis: VAC, GLS, and plasma OPG concentration at admission were independent prognostic factors predicting adverse cardiovascular events after 12 months in patients with acute myocardial infarction. VAC and GLS were two independent prognostic factors predicting rehospitalization for heart failure after acute myocardial infarction.</w:t>
      </w:r>
    </w:p>
    <w:p w14:paraId="4E1599D9" w14:textId="77777777" w:rsidR="00BD18DF" w:rsidRPr="00BD18DF" w:rsidRDefault="00BD18DF" w:rsidP="00A16F98">
      <w:pPr>
        <w:pBdr>
          <w:top w:val="nil"/>
          <w:left w:val="nil"/>
          <w:bottom w:val="nil"/>
          <w:right w:val="nil"/>
          <w:between w:val="nil"/>
        </w:pBdr>
        <w:spacing w:line="340" w:lineRule="exact"/>
        <w:ind w:firstLine="284"/>
        <w:rPr>
          <w:rFonts w:eastAsia="Times New Roman"/>
          <w:color w:val="000000"/>
          <w:lang w:val="vi-VN"/>
        </w:rPr>
      </w:pPr>
    </w:p>
    <w:p w14:paraId="21E9B7D8" w14:textId="77777777" w:rsidR="00BD18DF" w:rsidRPr="00BD18DF" w:rsidRDefault="00BD18DF" w:rsidP="00A16F98">
      <w:pPr>
        <w:pBdr>
          <w:top w:val="nil"/>
          <w:left w:val="nil"/>
          <w:bottom w:val="nil"/>
          <w:right w:val="nil"/>
          <w:between w:val="nil"/>
        </w:pBdr>
        <w:spacing w:line="340" w:lineRule="exact"/>
        <w:ind w:firstLine="284"/>
        <w:rPr>
          <w:rFonts w:eastAsia="Times New Roman"/>
          <w:color w:val="000000"/>
          <w:lang w:val="vi-VN"/>
        </w:rPr>
      </w:pPr>
    </w:p>
    <w:p w14:paraId="629A9B99" w14:textId="77777777" w:rsidR="00BD18DF" w:rsidRPr="00BD18DF" w:rsidRDefault="00BD18DF" w:rsidP="00A16F98">
      <w:pPr>
        <w:pBdr>
          <w:top w:val="nil"/>
          <w:left w:val="nil"/>
          <w:bottom w:val="nil"/>
          <w:right w:val="nil"/>
          <w:between w:val="nil"/>
        </w:pBdr>
        <w:spacing w:line="340" w:lineRule="exact"/>
        <w:ind w:firstLine="284"/>
        <w:rPr>
          <w:rFonts w:eastAsia="Times New Roman"/>
          <w:color w:val="000000"/>
          <w:lang w:val="vi-VN"/>
        </w:rPr>
      </w:pPr>
    </w:p>
    <w:p w14:paraId="7FA64ECB" w14:textId="77777777" w:rsidR="00BD18DF" w:rsidRPr="00BD18DF" w:rsidRDefault="00BD18DF" w:rsidP="00A16F98">
      <w:pPr>
        <w:pBdr>
          <w:top w:val="nil"/>
          <w:left w:val="nil"/>
          <w:bottom w:val="nil"/>
          <w:right w:val="nil"/>
          <w:between w:val="nil"/>
        </w:pBdr>
        <w:spacing w:line="340" w:lineRule="exact"/>
        <w:ind w:firstLine="284"/>
        <w:rPr>
          <w:rFonts w:eastAsia="Times New Roman"/>
          <w:color w:val="000000"/>
          <w:lang w:val="vi-VN"/>
        </w:rPr>
      </w:pPr>
    </w:p>
    <w:bookmarkEnd w:id="14"/>
    <w:bookmarkEnd w:id="15"/>
    <w:bookmarkEnd w:id="16"/>
    <w:bookmarkEnd w:id="17"/>
    <w:bookmarkEnd w:id="18"/>
    <w:bookmarkEnd w:id="19"/>
    <w:p w14:paraId="392B1C45" w14:textId="4FF3805C" w:rsidR="00EB5110" w:rsidRDefault="00EB5110" w:rsidP="00CB2D7A">
      <w:pPr>
        <w:tabs>
          <w:tab w:val="left" w:pos="53"/>
          <w:tab w:val="left" w:pos="2970"/>
        </w:tabs>
        <w:spacing w:line="340" w:lineRule="exact"/>
        <w:ind w:firstLine="0"/>
        <w:jc w:val="center"/>
        <w:rPr>
          <w:b/>
          <w:lang w:val="vi-VN"/>
        </w:rPr>
      </w:pPr>
      <w:r>
        <w:rPr>
          <w:b/>
          <w:lang w:val="vi-VN"/>
        </w:rPr>
        <w:t>RECOMMENDATION</w:t>
      </w:r>
    </w:p>
    <w:p w14:paraId="2E0F53B0" w14:textId="77777777" w:rsidR="00BD18DF" w:rsidRPr="00BD18DF" w:rsidRDefault="00BD18DF" w:rsidP="00BD18DF">
      <w:pPr>
        <w:pStyle w:val="Title"/>
        <w:ind w:firstLine="0"/>
        <w:jc w:val="both"/>
        <w:rPr>
          <w:rFonts w:eastAsiaTheme="minorHAnsi"/>
          <w:b w:val="0"/>
          <w:bCs/>
          <w:color w:val="auto"/>
          <w:lang w:val="vi-VN"/>
        </w:rPr>
      </w:pPr>
      <w:r w:rsidRPr="00BD18DF">
        <w:rPr>
          <w:rFonts w:eastAsiaTheme="minorHAnsi"/>
          <w:b w:val="0"/>
          <w:bCs/>
          <w:color w:val="auto"/>
          <w:lang w:val="vi-VN"/>
        </w:rPr>
        <w:t>1. Patients with acute myocardial infarction should have additional measurements of left ventricular-arterial compatibility and left ventricular longitudinal strain taken upon admission. This contributes to the early detection of left ventricular dysfunction and the prediction of adverse cardiovascular events following myocardial infarction.</w:t>
      </w:r>
    </w:p>
    <w:p w14:paraId="1D0A4761" w14:textId="77777777" w:rsidR="00BD18DF" w:rsidRPr="00BD18DF" w:rsidRDefault="00BD18DF" w:rsidP="00BD18DF">
      <w:pPr>
        <w:pStyle w:val="Title"/>
        <w:ind w:firstLine="0"/>
        <w:jc w:val="both"/>
        <w:rPr>
          <w:rFonts w:eastAsiaTheme="minorHAnsi"/>
          <w:b w:val="0"/>
          <w:bCs/>
          <w:color w:val="auto"/>
          <w:lang w:val="vi-VN"/>
        </w:rPr>
      </w:pPr>
      <w:r w:rsidRPr="00BD18DF">
        <w:rPr>
          <w:rFonts w:eastAsiaTheme="minorHAnsi"/>
          <w:b w:val="0"/>
          <w:bCs/>
          <w:color w:val="auto"/>
          <w:lang w:val="vi-VN"/>
        </w:rPr>
        <w:t>2. Plasma osteoprotegerin levels can be tested upon admission to help predict the severity of coronary artery damage.</w:t>
      </w:r>
    </w:p>
    <w:p w14:paraId="1BD5E127" w14:textId="2E610FCF" w:rsidR="00F55346" w:rsidRPr="0023747C" w:rsidRDefault="00BD18DF" w:rsidP="001B5B63">
      <w:pPr>
        <w:pStyle w:val="Title"/>
        <w:ind w:firstLine="0"/>
        <w:jc w:val="both"/>
        <w:rPr>
          <w:lang w:val="es-ES"/>
        </w:rPr>
      </w:pPr>
      <w:r w:rsidRPr="00BD18DF">
        <w:rPr>
          <w:rFonts w:eastAsiaTheme="minorHAnsi"/>
          <w:b w:val="0"/>
          <w:bCs/>
          <w:color w:val="auto"/>
          <w:lang w:val="vi-VN"/>
        </w:rPr>
        <w:t xml:space="preserve">3. Plasma Matrix Metalloproteinase-2 levels can be tested upon admission to help predict heart failure and left ventricular-arterial mismatch during hospitalization. </w:t>
      </w:r>
      <w:r w:rsidR="00E91602">
        <w:rPr>
          <w:lang w:val="es-ES"/>
        </w:rPr>
        <w:br w:type="column"/>
      </w:r>
      <w:r w:rsidR="00F55346" w:rsidRPr="0023747C">
        <w:rPr>
          <w:lang w:val="es-ES"/>
        </w:rPr>
        <w:lastRenderedPageBreak/>
        <w:t>LIST OF PUBLISHED WORKS PRESENTING RESEARCH RESULTS OF THE THESIS</w:t>
      </w:r>
    </w:p>
    <w:p w14:paraId="5D1BD3F0" w14:textId="77777777" w:rsidR="000C0E0F" w:rsidRPr="0023747C" w:rsidRDefault="000C0E0F" w:rsidP="0023747C">
      <w:pPr>
        <w:pStyle w:val="Title"/>
        <w:spacing w:line="276" w:lineRule="auto"/>
        <w:ind w:firstLine="0"/>
        <w:rPr>
          <w:lang w:val="es-ES"/>
        </w:rPr>
      </w:pPr>
    </w:p>
    <w:p w14:paraId="21510614" w14:textId="77777777" w:rsidR="00BD18DF" w:rsidRPr="00BD18DF" w:rsidRDefault="00BD18DF" w:rsidP="00BD18DF">
      <w:pPr>
        <w:tabs>
          <w:tab w:val="left" w:pos="567"/>
        </w:tabs>
        <w:spacing w:after="160" w:line="360" w:lineRule="auto"/>
        <w:ind w:firstLine="0"/>
        <w:rPr>
          <w:szCs w:val="28"/>
          <w:lang w:val="vi-VN"/>
        </w:rPr>
      </w:pPr>
      <w:r w:rsidRPr="00BD18DF">
        <w:rPr>
          <w:szCs w:val="28"/>
          <w:lang w:val="vi-VN"/>
        </w:rPr>
        <w:t xml:space="preserve">1. </w:t>
      </w:r>
      <w:r w:rsidRPr="00D42D54">
        <w:rPr>
          <w:b/>
          <w:bCs/>
          <w:szCs w:val="28"/>
          <w:lang w:val="vi-VN"/>
        </w:rPr>
        <w:t xml:space="preserve">Nguyen Van Tuan, Tran Duc Hung, Luong Cong Thuc (2025) </w:t>
      </w:r>
      <w:r w:rsidRPr="00BD18DF">
        <w:rPr>
          <w:szCs w:val="28"/>
          <w:lang w:val="vi-VN"/>
        </w:rPr>
        <w:t>. The relationship between Osteoprotegerin concentration and clinical and paraclinical characteristics in patients with acute myocardial infarction. Vietnamese Medical Journal, 554 (1): 330-333.</w:t>
      </w:r>
    </w:p>
    <w:p w14:paraId="5A082757" w14:textId="3C62FAD1" w:rsidR="00F55346" w:rsidRPr="001B0430" w:rsidRDefault="00BD18DF" w:rsidP="00BD18DF">
      <w:pPr>
        <w:tabs>
          <w:tab w:val="left" w:pos="567"/>
        </w:tabs>
        <w:spacing w:after="160" w:line="360" w:lineRule="auto"/>
        <w:ind w:firstLine="0"/>
        <w:rPr>
          <w:szCs w:val="28"/>
          <w:lang w:val="vi-VN"/>
        </w:rPr>
      </w:pPr>
      <w:r w:rsidRPr="00BD18DF">
        <w:rPr>
          <w:szCs w:val="28"/>
          <w:lang w:val="vi-VN"/>
        </w:rPr>
        <w:t xml:space="preserve">2. </w:t>
      </w:r>
      <w:r w:rsidRPr="00D42D54">
        <w:rPr>
          <w:b/>
          <w:bCs/>
          <w:szCs w:val="28"/>
          <w:lang w:val="vi-VN"/>
        </w:rPr>
        <w:t xml:space="preserve">Nguyen Van Tuan, Tran Duc Hung, Luong Cong Thuc (2025) </w:t>
      </w:r>
      <w:r w:rsidRPr="00BD18DF">
        <w:rPr>
          <w:szCs w:val="28"/>
          <w:lang w:val="vi-VN"/>
        </w:rPr>
        <w:t>. The relationship between left ventricular-arterial compatibility index and clinical and paraclinical characteristics in patients with acute myocardial infarction. Vietnamese Medical Journal, 554 (2): 319-323.</w:t>
      </w:r>
    </w:p>
    <w:sectPr w:rsidR="00F55346" w:rsidRPr="001B0430" w:rsidSect="00C15115">
      <w:type w:val="continuous"/>
      <w:pgSz w:w="8420" w:h="11907" w:orient="landscape" w:code="9"/>
      <w:pgMar w:top="1134" w:right="1134" w:bottom="993"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D27BB" w14:textId="77777777" w:rsidR="00206114" w:rsidRDefault="00206114" w:rsidP="00E75B07">
      <w:r>
        <w:separator/>
      </w:r>
    </w:p>
  </w:endnote>
  <w:endnote w:type="continuationSeparator" w:id="0">
    <w:p w14:paraId="698423A1" w14:textId="77777777" w:rsidR="00206114" w:rsidRDefault="00206114"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PMingLiU"/>
    <w:panose1 w:val="02020803070505020304"/>
    <w:charset w:val="88"/>
    <w:family w:val="roman"/>
    <w:notTrueType/>
    <w:pitch w:val="default"/>
    <w:sig w:usb0="00000000" w:usb1="08080000" w:usb2="00000010" w:usb3="00000000" w:csb0="001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lay">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85CF6" w14:textId="77777777" w:rsidR="00206114" w:rsidRDefault="00206114" w:rsidP="00E75B07">
      <w:r>
        <w:separator/>
      </w:r>
    </w:p>
  </w:footnote>
  <w:footnote w:type="continuationSeparator" w:id="0">
    <w:p w14:paraId="47AB1329" w14:textId="77777777" w:rsidR="00206114" w:rsidRDefault="00206114" w:rsidP="00E7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3154610"/>
      <w:docPartObj>
        <w:docPartGallery w:val="Page Numbers (Top of Page)"/>
        <w:docPartUnique/>
      </w:docPartObj>
    </w:sdtPr>
    <w:sdtContent>
      <w:p w14:paraId="46035001" w14:textId="48756849" w:rsidR="00A33435" w:rsidRDefault="00A33435"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A33435" w:rsidRDefault="00A33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E268" w14:textId="77777777" w:rsidR="00627579" w:rsidRDefault="00627579" w:rsidP="00E75B07">
    <w:pPr>
      <w:pStyle w:val="Header"/>
    </w:pPr>
  </w:p>
  <w:p w14:paraId="234F8E31" w14:textId="77777777" w:rsidR="00627579" w:rsidRPr="00146776" w:rsidRDefault="00627579" w:rsidP="00E75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390B" w14:textId="77777777" w:rsidR="00627579" w:rsidRPr="00A2709D" w:rsidRDefault="00627579" w:rsidP="00E75B07">
    <w:pPr>
      <w:pStyle w:val="Header"/>
    </w:pPr>
    <w:r w:rsidRPr="00A2709D">
      <w:t>60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083059"/>
      <w:docPartObj>
        <w:docPartGallery w:val="Page Numbers (Top of Page)"/>
        <w:docPartUnique/>
      </w:docPartObj>
    </w:sdtPr>
    <w:sdtContent>
      <w:p w14:paraId="5A482A8C" w14:textId="53027E94" w:rsidR="00A12639" w:rsidRDefault="00000000" w:rsidP="008E64D1">
        <w:pPr>
          <w:pStyle w:val="Header"/>
          <w:framePr w:wrap="none" w:vAnchor="text" w:hAnchor="margin" w:xAlign="center" w:y="1"/>
          <w:rPr>
            <w:rStyle w:val="PageNumber"/>
          </w:rPr>
        </w:pPr>
      </w:p>
    </w:sdtContent>
  </w:sdt>
  <w:p w14:paraId="6F1D124D" w14:textId="77777777" w:rsidR="00510349" w:rsidRDefault="00510349" w:rsidP="001B0347">
    <w:pPr>
      <w:pStyle w:val="Header"/>
      <w:ind w:firstLine="0"/>
    </w:pPr>
  </w:p>
  <w:p w14:paraId="49540843" w14:textId="5A470EEA" w:rsidR="00510349" w:rsidRPr="00761A45" w:rsidRDefault="00510349" w:rsidP="00761A45">
    <w:pPr>
      <w:pStyle w:val="Header"/>
      <w:ind w:firstLine="0"/>
      <w:rPr>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F5FAD"/>
    <w:multiLevelType w:val="hybridMultilevel"/>
    <w:tmpl w:val="6EFAFFBC"/>
    <w:lvl w:ilvl="0" w:tplc="717410F2">
      <w:start w:val="3"/>
      <w:numFmt w:val="bullet"/>
      <w:lvlText w:val="-"/>
      <w:lvlJc w:val="left"/>
      <w:pPr>
        <w:ind w:left="720" w:hanging="360"/>
      </w:pPr>
      <w:rPr>
        <w:rFonts w:ascii="Cambria" w:eastAsiaTheme="minorHAnsi" w:hAnsi="Cambria"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FFF41C4"/>
    <w:multiLevelType w:val="multilevel"/>
    <w:tmpl w:val="9A54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B20D79"/>
    <w:multiLevelType w:val="hybridMultilevel"/>
    <w:tmpl w:val="76E46FC2"/>
    <w:lvl w:ilvl="0" w:tplc="0D1AE3A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9278B1"/>
    <w:multiLevelType w:val="multilevel"/>
    <w:tmpl w:val="6C9278B1"/>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71FC13DA"/>
    <w:multiLevelType w:val="multilevel"/>
    <w:tmpl w:val="538EF97A"/>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pStyle w:val="NgocAnh3"/>
      <w:lvlText w:val="%1.%2.%3."/>
      <w:lvlJc w:val="left"/>
      <w:pPr>
        <w:ind w:left="63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7AC474D"/>
    <w:multiLevelType w:val="multilevel"/>
    <w:tmpl w:val="29E8FC8A"/>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4"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1668333">
    <w:abstractNumId w:val="7"/>
  </w:num>
  <w:num w:numId="2" w16cid:durableId="756053409">
    <w:abstractNumId w:val="16"/>
  </w:num>
  <w:num w:numId="3" w16cid:durableId="1581451240">
    <w:abstractNumId w:val="1"/>
  </w:num>
  <w:num w:numId="4" w16cid:durableId="1283460852">
    <w:abstractNumId w:val="10"/>
  </w:num>
  <w:num w:numId="5" w16cid:durableId="1410733234">
    <w:abstractNumId w:val="2"/>
  </w:num>
  <w:num w:numId="6" w16cid:durableId="836967218">
    <w:abstractNumId w:val="11"/>
  </w:num>
  <w:num w:numId="7" w16cid:durableId="1604727634">
    <w:abstractNumId w:val="5"/>
  </w:num>
  <w:num w:numId="8" w16cid:durableId="601501226">
    <w:abstractNumId w:val="17"/>
  </w:num>
  <w:num w:numId="9" w16cid:durableId="151533712">
    <w:abstractNumId w:val="9"/>
  </w:num>
  <w:num w:numId="10" w16cid:durableId="734594765">
    <w:abstractNumId w:val="4"/>
  </w:num>
  <w:num w:numId="11" w16cid:durableId="588661868">
    <w:abstractNumId w:val="19"/>
  </w:num>
  <w:num w:numId="12" w16cid:durableId="12134649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9578597">
    <w:abstractNumId w:val="0"/>
  </w:num>
  <w:num w:numId="14" w16cid:durableId="1215317661">
    <w:abstractNumId w:val="13"/>
  </w:num>
  <w:num w:numId="15" w16cid:durableId="1472165954">
    <w:abstractNumId w:val="15"/>
  </w:num>
  <w:num w:numId="16" w16cid:durableId="1158574154">
    <w:abstractNumId w:val="11"/>
    <w:lvlOverride w:ilvl="0">
      <w:startOverride w:val="2"/>
    </w:lvlOverride>
    <w:lvlOverride w:ilvl="1">
      <w:startOverride w:val="1"/>
    </w:lvlOverride>
  </w:num>
  <w:num w:numId="17" w16cid:durableId="1608154808">
    <w:abstractNumId w:val="20"/>
  </w:num>
  <w:num w:numId="18" w16cid:durableId="804658969">
    <w:abstractNumId w:val="18"/>
  </w:num>
  <w:num w:numId="19" w16cid:durableId="2051806222">
    <w:abstractNumId w:val="12"/>
  </w:num>
  <w:num w:numId="20" w16cid:durableId="19958390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6207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6582830">
    <w:abstractNumId w:val="24"/>
  </w:num>
  <w:num w:numId="23" w16cid:durableId="1823547329">
    <w:abstractNumId w:val="14"/>
  </w:num>
  <w:num w:numId="24" w16cid:durableId="564493429">
    <w:abstractNumId w:val="23"/>
  </w:num>
  <w:num w:numId="25" w16cid:durableId="133522175">
    <w:abstractNumId w:val="6"/>
  </w:num>
  <w:num w:numId="26" w16cid:durableId="526483391">
    <w:abstractNumId w:val="22"/>
  </w:num>
  <w:num w:numId="27" w16cid:durableId="530190468">
    <w:abstractNumId w:val="3"/>
  </w:num>
  <w:num w:numId="28" w16cid:durableId="2073430553">
    <w:abstractNumId w:val="8"/>
  </w:num>
  <w:num w:numId="29" w16cid:durableId="1048535260">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defaultTabStop w:val="680"/>
  <w:bookFoldPrinting/>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6D6"/>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579"/>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6FD8"/>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B03"/>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DE"/>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BAF"/>
    <w:rsid w:val="00066E1B"/>
    <w:rsid w:val="00066F80"/>
    <w:rsid w:val="0006701F"/>
    <w:rsid w:val="00067137"/>
    <w:rsid w:val="00067200"/>
    <w:rsid w:val="0006725B"/>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A89"/>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C3"/>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0CF"/>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8C0"/>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08"/>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332"/>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560"/>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598"/>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5A67"/>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0C6"/>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6D9"/>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DCA"/>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7F"/>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30"/>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B63"/>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DF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C30"/>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2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4"/>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8BB"/>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6EC"/>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6F45"/>
    <w:rsid w:val="00237164"/>
    <w:rsid w:val="00237208"/>
    <w:rsid w:val="0023730E"/>
    <w:rsid w:val="0023737F"/>
    <w:rsid w:val="00237402"/>
    <w:rsid w:val="00237433"/>
    <w:rsid w:val="0023747C"/>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DCD"/>
    <w:rsid w:val="00246F14"/>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751"/>
    <w:rsid w:val="002757F4"/>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3FE4"/>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76C"/>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11F"/>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17FA4"/>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383"/>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B3D"/>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67D"/>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BE2"/>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3BCD"/>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D77E6"/>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3F"/>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B27"/>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DE9"/>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46B"/>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8E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EC5"/>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84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395"/>
    <w:rsid w:val="004B74AF"/>
    <w:rsid w:val="004B76BE"/>
    <w:rsid w:val="004B76D7"/>
    <w:rsid w:val="004B7803"/>
    <w:rsid w:val="004B7C7A"/>
    <w:rsid w:val="004B7D73"/>
    <w:rsid w:val="004B7DE1"/>
    <w:rsid w:val="004B7F45"/>
    <w:rsid w:val="004C06BB"/>
    <w:rsid w:val="004C06EF"/>
    <w:rsid w:val="004C0734"/>
    <w:rsid w:val="004C0BC0"/>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C82"/>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77F"/>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A10"/>
    <w:rsid w:val="004E7D72"/>
    <w:rsid w:val="004F03F8"/>
    <w:rsid w:val="004F066B"/>
    <w:rsid w:val="004F074A"/>
    <w:rsid w:val="004F086D"/>
    <w:rsid w:val="004F0A6C"/>
    <w:rsid w:val="004F0A6D"/>
    <w:rsid w:val="004F0ACD"/>
    <w:rsid w:val="004F0AFD"/>
    <w:rsid w:val="004F0F41"/>
    <w:rsid w:val="004F1302"/>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0E4"/>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3EC"/>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15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BC2"/>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7E"/>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EB1"/>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A6"/>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25C"/>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6ECF"/>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ABC"/>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C08"/>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75D"/>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07"/>
    <w:rsid w:val="006C0125"/>
    <w:rsid w:val="006C04C7"/>
    <w:rsid w:val="006C05C0"/>
    <w:rsid w:val="006C07DB"/>
    <w:rsid w:val="006C0952"/>
    <w:rsid w:val="006C0B21"/>
    <w:rsid w:val="006C0CDF"/>
    <w:rsid w:val="006C0EB5"/>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6B8"/>
    <w:rsid w:val="006C5B59"/>
    <w:rsid w:val="006C5B7D"/>
    <w:rsid w:val="006C5C75"/>
    <w:rsid w:val="006C5CCD"/>
    <w:rsid w:val="006C5D44"/>
    <w:rsid w:val="006C5E91"/>
    <w:rsid w:val="006C5F9F"/>
    <w:rsid w:val="006C614F"/>
    <w:rsid w:val="006C665A"/>
    <w:rsid w:val="006C6767"/>
    <w:rsid w:val="006C691C"/>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2C7"/>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5A6"/>
    <w:rsid w:val="0070265F"/>
    <w:rsid w:val="0070275C"/>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99A"/>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41"/>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63"/>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2E82"/>
    <w:rsid w:val="0075313A"/>
    <w:rsid w:val="00753181"/>
    <w:rsid w:val="00753358"/>
    <w:rsid w:val="0075337A"/>
    <w:rsid w:val="007534A3"/>
    <w:rsid w:val="007534D8"/>
    <w:rsid w:val="007536F6"/>
    <w:rsid w:val="007536FF"/>
    <w:rsid w:val="007537A6"/>
    <w:rsid w:val="00753A1A"/>
    <w:rsid w:val="00753FF5"/>
    <w:rsid w:val="007541A6"/>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A4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4BA"/>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617"/>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263"/>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628"/>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7A5"/>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2F5"/>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99D"/>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CD8"/>
    <w:rsid w:val="00820F55"/>
    <w:rsid w:val="008211DA"/>
    <w:rsid w:val="00821317"/>
    <w:rsid w:val="0082133F"/>
    <w:rsid w:val="00821372"/>
    <w:rsid w:val="00821663"/>
    <w:rsid w:val="0082192B"/>
    <w:rsid w:val="00821D9E"/>
    <w:rsid w:val="008221EC"/>
    <w:rsid w:val="00822276"/>
    <w:rsid w:val="0082249E"/>
    <w:rsid w:val="00822820"/>
    <w:rsid w:val="008229F1"/>
    <w:rsid w:val="00823294"/>
    <w:rsid w:val="008236BF"/>
    <w:rsid w:val="008236EC"/>
    <w:rsid w:val="0082389B"/>
    <w:rsid w:val="00823917"/>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1A"/>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DDC"/>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55"/>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4DB3"/>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6D3"/>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8B"/>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B6A"/>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165"/>
    <w:rsid w:val="009832C9"/>
    <w:rsid w:val="0098363E"/>
    <w:rsid w:val="0098365A"/>
    <w:rsid w:val="0098375E"/>
    <w:rsid w:val="00983D28"/>
    <w:rsid w:val="00983EF9"/>
    <w:rsid w:val="0098442A"/>
    <w:rsid w:val="0098455F"/>
    <w:rsid w:val="00984574"/>
    <w:rsid w:val="00984661"/>
    <w:rsid w:val="009847AD"/>
    <w:rsid w:val="009847E0"/>
    <w:rsid w:val="009847F8"/>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365"/>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43E"/>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6F9C"/>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2D"/>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93"/>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ECB"/>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98"/>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5E13"/>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8A0"/>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A18"/>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1D0"/>
    <w:rsid w:val="00A433C6"/>
    <w:rsid w:val="00A4361F"/>
    <w:rsid w:val="00A43627"/>
    <w:rsid w:val="00A436E2"/>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994"/>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C8E"/>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1BF"/>
    <w:rsid w:val="00A84285"/>
    <w:rsid w:val="00A8455D"/>
    <w:rsid w:val="00A8470A"/>
    <w:rsid w:val="00A84941"/>
    <w:rsid w:val="00A84C2B"/>
    <w:rsid w:val="00A84DB7"/>
    <w:rsid w:val="00A84FE5"/>
    <w:rsid w:val="00A85030"/>
    <w:rsid w:val="00A85033"/>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07C"/>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97D"/>
    <w:rsid w:val="00AA6E02"/>
    <w:rsid w:val="00AA7047"/>
    <w:rsid w:val="00AA732E"/>
    <w:rsid w:val="00AA7480"/>
    <w:rsid w:val="00AA74D8"/>
    <w:rsid w:val="00AA7508"/>
    <w:rsid w:val="00AA7518"/>
    <w:rsid w:val="00AA768E"/>
    <w:rsid w:val="00AA78CD"/>
    <w:rsid w:val="00AA78E3"/>
    <w:rsid w:val="00AA7D28"/>
    <w:rsid w:val="00AA7F9B"/>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45"/>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44F"/>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95"/>
    <w:rsid w:val="00AE08F7"/>
    <w:rsid w:val="00AE090F"/>
    <w:rsid w:val="00AE0B2E"/>
    <w:rsid w:val="00AE0B73"/>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85"/>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749"/>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3ED"/>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3F04"/>
    <w:rsid w:val="00B845E5"/>
    <w:rsid w:val="00B84A6A"/>
    <w:rsid w:val="00B84A99"/>
    <w:rsid w:val="00B84B0B"/>
    <w:rsid w:val="00B84D63"/>
    <w:rsid w:val="00B84ECF"/>
    <w:rsid w:val="00B8504F"/>
    <w:rsid w:val="00B850D7"/>
    <w:rsid w:val="00B85113"/>
    <w:rsid w:val="00B851BD"/>
    <w:rsid w:val="00B852EE"/>
    <w:rsid w:val="00B853A7"/>
    <w:rsid w:val="00B85516"/>
    <w:rsid w:val="00B856A0"/>
    <w:rsid w:val="00B856E4"/>
    <w:rsid w:val="00B85F48"/>
    <w:rsid w:val="00B860AD"/>
    <w:rsid w:val="00B862C7"/>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672"/>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7D0"/>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B4A"/>
    <w:rsid w:val="00BB0D1E"/>
    <w:rsid w:val="00BB0D9B"/>
    <w:rsid w:val="00BB1067"/>
    <w:rsid w:val="00BB14F1"/>
    <w:rsid w:val="00BB1545"/>
    <w:rsid w:val="00BB15AA"/>
    <w:rsid w:val="00BB1613"/>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8DF"/>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AE0"/>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120"/>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37"/>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115"/>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19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5BE7"/>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B33"/>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B9A"/>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7"/>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0E"/>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2D7A"/>
    <w:rsid w:val="00CB318A"/>
    <w:rsid w:val="00CB332B"/>
    <w:rsid w:val="00CB342F"/>
    <w:rsid w:val="00CB36F7"/>
    <w:rsid w:val="00CB388B"/>
    <w:rsid w:val="00CB3967"/>
    <w:rsid w:val="00CB39BB"/>
    <w:rsid w:val="00CB3A4C"/>
    <w:rsid w:val="00CB3AED"/>
    <w:rsid w:val="00CB3B66"/>
    <w:rsid w:val="00CB3B87"/>
    <w:rsid w:val="00CB3BD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36F"/>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739"/>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83"/>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E1"/>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555"/>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D1F"/>
    <w:rsid w:val="00D41F30"/>
    <w:rsid w:val="00D41F72"/>
    <w:rsid w:val="00D423B2"/>
    <w:rsid w:val="00D42406"/>
    <w:rsid w:val="00D424DD"/>
    <w:rsid w:val="00D42509"/>
    <w:rsid w:val="00D42557"/>
    <w:rsid w:val="00D4256D"/>
    <w:rsid w:val="00D42818"/>
    <w:rsid w:val="00D429CB"/>
    <w:rsid w:val="00D42A5A"/>
    <w:rsid w:val="00D42B02"/>
    <w:rsid w:val="00D42D2B"/>
    <w:rsid w:val="00D42D54"/>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C0"/>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0F6C"/>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59C"/>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A79"/>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BE0"/>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C22"/>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5C8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560"/>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AF0"/>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8CC"/>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02"/>
    <w:rsid w:val="00E916F0"/>
    <w:rsid w:val="00E918DE"/>
    <w:rsid w:val="00E91D95"/>
    <w:rsid w:val="00E91DA2"/>
    <w:rsid w:val="00E91E22"/>
    <w:rsid w:val="00E91E93"/>
    <w:rsid w:val="00E920B0"/>
    <w:rsid w:val="00E920D8"/>
    <w:rsid w:val="00E9232C"/>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4C2"/>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2F"/>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110"/>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33"/>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7F"/>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30"/>
    <w:rsid w:val="00F13971"/>
    <w:rsid w:val="00F139A4"/>
    <w:rsid w:val="00F13B00"/>
    <w:rsid w:val="00F13B44"/>
    <w:rsid w:val="00F13BB8"/>
    <w:rsid w:val="00F13F92"/>
    <w:rsid w:val="00F1414D"/>
    <w:rsid w:val="00F1427E"/>
    <w:rsid w:val="00F14297"/>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99"/>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98"/>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CBD"/>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BD5"/>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8C"/>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3BA"/>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13"/>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n"/>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rPr>
  </w:style>
  <w:style w:type="paragraph" w:customStyle="1" w:styleId="2">
    <w:name w:val="2"/>
    <w:basedOn w:val="Normal"/>
    <w:rsid w:val="00103BA0"/>
    <w:pPr>
      <w:spacing w:line="312" w:lineRule="auto"/>
    </w:pPr>
    <w:rPr>
      <w:rFonts w:ascii=".VnTime" w:eastAsia="Times New Roman" w:hAnsi=".VnTime"/>
      <w:sz w:val="28"/>
      <w:szCs w:val="24"/>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style>
  <w:style w:type="paragraph" w:customStyle="1" w:styleId="a1">
    <w:name w:val="a1"/>
    <w:basedOn w:val="Heading1"/>
    <w:link w:val="a1Char"/>
    <w:qFormat/>
    <w:rsid w:val="006F0088"/>
    <w:rPr>
      <w:szCs w:val="28"/>
      <w:lang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en"/>
    </w:rPr>
  </w:style>
  <w:style w:type="paragraph" w:customStyle="1" w:styleId="a2">
    <w:name w:val="a2"/>
    <w:basedOn w:val="Heading2"/>
    <w:link w:val="a2Char"/>
    <w:qFormat/>
    <w:rsid w:val="006F0088"/>
    <w:rPr>
      <w:rFonts w:ascii="Times New Roman Bold" w:hAnsi="Times New Roman Bold"/>
      <w:lang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e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e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n"/>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n"/>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e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e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e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e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e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n"/>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character" w:customStyle="1" w:styleId="NormalWebChar">
    <w:name w:val="Normal (Web) Char"/>
    <w:link w:val="NormalWeb"/>
    <w:uiPriority w:val="99"/>
    <w:rsid w:val="007D7628"/>
    <w:rPr>
      <w:rFonts w:ascii="Times New Roman" w:eastAsia="Times New Roman" w:hAnsi="Times New Roman" w:cs="Times New Roman"/>
      <w:sz w:val="24"/>
      <w:szCs w:val="24"/>
    </w:rPr>
  </w:style>
  <w:style w:type="paragraph" w:customStyle="1" w:styleId="NgocAnh2">
    <w:name w:val="Ngoc Anh 2"/>
    <w:basedOn w:val="Heading2"/>
    <w:link w:val="NgocAnh2Char"/>
    <w:qFormat/>
    <w:rsid w:val="002A076C"/>
    <w:pPr>
      <w:keepLines/>
      <w:numPr>
        <w:ilvl w:val="0"/>
        <w:numId w:val="0"/>
      </w:numPr>
      <w:spacing w:line="360" w:lineRule="auto"/>
      <w:jc w:val="left"/>
    </w:pPr>
    <w:rPr>
      <w:iCs w:val="0"/>
      <w:noProof w:val="0"/>
      <w:color w:val="000000"/>
      <w:sz w:val="36"/>
      <w:szCs w:val="28"/>
      <w:shd w:val="clear" w:color="auto" w:fill="auto"/>
    </w:rPr>
  </w:style>
  <w:style w:type="character" w:customStyle="1" w:styleId="NgocAnh2Char">
    <w:name w:val="Ngoc Anh 2 Char"/>
    <w:link w:val="NgocAnh2"/>
    <w:rsid w:val="002A076C"/>
    <w:rPr>
      <w:rFonts w:ascii="Times New Roman" w:eastAsia="Times New Roman" w:hAnsi="Times New Roman" w:cs="Times New Roman"/>
      <w:b/>
      <w:color w:val="000000"/>
      <w:sz w:val="36"/>
      <w:szCs w:val="28"/>
    </w:rPr>
  </w:style>
  <w:style w:type="paragraph" w:customStyle="1" w:styleId="NgocAnh3">
    <w:name w:val="Ngoc Anh 3"/>
    <w:basedOn w:val="ListParagraph"/>
    <w:link w:val="NgocAnh3Char"/>
    <w:qFormat/>
    <w:rsid w:val="00A85033"/>
    <w:pPr>
      <w:numPr>
        <w:ilvl w:val="2"/>
        <w:numId w:val="26"/>
      </w:numPr>
      <w:pBdr>
        <w:top w:val="nil"/>
        <w:left w:val="nil"/>
        <w:bottom w:val="nil"/>
        <w:right w:val="nil"/>
        <w:between w:val="nil"/>
      </w:pBdr>
      <w:spacing w:line="360" w:lineRule="auto"/>
      <w:outlineLvl w:val="2"/>
    </w:pPr>
    <w:rPr>
      <w:rFonts w:eastAsia="Times New Roman"/>
      <w:b/>
      <w:i/>
      <w:color w:val="000000"/>
      <w:sz w:val="28"/>
      <w:szCs w:val="28"/>
      <w:shd w:val="clear" w:color="auto" w:fill="auto"/>
    </w:rPr>
  </w:style>
  <w:style w:type="character" w:customStyle="1" w:styleId="NgocAnh3Char">
    <w:name w:val="Ngoc Anh 3 Char"/>
    <w:link w:val="NgocAnh3"/>
    <w:rsid w:val="00A85033"/>
    <w:rPr>
      <w:rFonts w:ascii="Times New Roman" w:eastAsia="Times New Roman" w:hAnsi="Times New Roman" w:cs="Times New Roman"/>
      <w:b/>
      <w:i/>
      <w:color w:val="000000"/>
      <w:sz w:val="28"/>
      <w:szCs w:val="28"/>
    </w:rPr>
  </w:style>
  <w:style w:type="paragraph" w:customStyle="1" w:styleId="NgocAnh1">
    <w:name w:val="Ngoc Anh1"/>
    <w:basedOn w:val="Heading1"/>
    <w:link w:val="NgocAnh1Char"/>
    <w:qFormat/>
    <w:rsid w:val="00752E82"/>
    <w:pPr>
      <w:keepLines/>
      <w:numPr>
        <w:numId w:val="0"/>
      </w:numPr>
      <w:spacing w:line="360" w:lineRule="auto"/>
      <w:jc w:val="left"/>
    </w:pPr>
    <w:rPr>
      <w:rFonts w:eastAsia="Calibri"/>
      <w:noProof w:val="0"/>
      <w:color w:val="000000"/>
      <w:sz w:val="48"/>
      <w:szCs w:val="28"/>
      <w:shd w:val="clear" w:color="auto" w:fill="auto"/>
    </w:rPr>
  </w:style>
  <w:style w:type="character" w:customStyle="1" w:styleId="NgocAnh1Char">
    <w:name w:val="Ngoc Anh1 Char"/>
    <w:link w:val="NgocAnh1"/>
    <w:rsid w:val="00752E82"/>
    <w:rPr>
      <w:rFonts w:ascii="Times New Roman" w:eastAsia="Calibri" w:hAnsi="Times New Roman" w:cs="Times New Roman"/>
      <w:b/>
      <w:color w:val="000000"/>
      <w:sz w:val="48"/>
      <w:szCs w:val="28"/>
    </w:rPr>
  </w:style>
  <w:style w:type="paragraph" w:customStyle="1" w:styleId="a3">
    <w:name w:val="a3"/>
    <w:basedOn w:val="Normal"/>
    <w:link w:val="a3Char"/>
    <w:qFormat/>
    <w:rsid w:val="00E64AF0"/>
    <w:pPr>
      <w:spacing w:line="360" w:lineRule="auto"/>
      <w:ind w:firstLine="0"/>
    </w:pPr>
    <w:rPr>
      <w:rFonts w:eastAsia="Calibri"/>
      <w:b/>
      <w:bCs/>
      <w:i/>
      <w:iCs/>
      <w:color w:val="000000"/>
      <w:sz w:val="28"/>
      <w:szCs w:val="28"/>
      <w:shd w:val="clear" w:color="auto" w:fill="auto"/>
    </w:rPr>
  </w:style>
  <w:style w:type="character" w:customStyle="1" w:styleId="a3Char">
    <w:name w:val="a3 Char"/>
    <w:basedOn w:val="DefaultParagraphFont"/>
    <w:link w:val="a3"/>
    <w:rsid w:val="00E64AF0"/>
    <w:rPr>
      <w:rFonts w:ascii="Times New Roman" w:eastAsia="Calibri" w:hAnsi="Times New Roman" w:cs="Times New Roman"/>
      <w:b/>
      <w:bCs/>
      <w:i/>
      <w:iCs/>
      <w:color w:val="000000"/>
      <w:sz w:val="28"/>
      <w:szCs w:val="28"/>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39B75-05AE-41C2-8807-9047AAE6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3959</TotalTime>
  <Pages>30</Pages>
  <Words>5547</Words>
  <Characters>31624</Characters>
  <Application>Microsoft Office Word</Application>
  <DocSecurity>0</DocSecurity>
  <Lines>263</Lines>
  <Paragraphs>74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Tuan Nguyen</cp:lastModifiedBy>
  <cp:revision>185</cp:revision>
  <cp:lastPrinted>2025-02-09T01:15:00Z</cp:lastPrinted>
  <dcterms:created xsi:type="dcterms:W3CDTF">2023-08-04T07:45:00Z</dcterms:created>
  <dcterms:modified xsi:type="dcterms:W3CDTF">2026-03-26T04:39:00Z</dcterms:modified>
</cp:coreProperties>
</file>